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0342B" w14:textId="77777777" w:rsidR="00D741A8" w:rsidRPr="00603635" w:rsidRDefault="00D741A8" w:rsidP="00D741A8">
      <w:pPr>
        <w:spacing w:after="0"/>
      </w:pPr>
      <w:r w:rsidRPr="00B94A02">
        <w:rPr>
          <w:b/>
          <w:noProof/>
          <w:lang w:eastAsia="en-NZ"/>
        </w:rPr>
        <w:drawing>
          <wp:anchor distT="0" distB="0" distL="114300" distR="114300" simplePos="0" relativeHeight="251659264" behindDoc="0" locked="0" layoutInCell="1" allowOverlap="1" wp14:anchorId="41C03459" wp14:editId="41C0345A">
            <wp:simplePos x="0" y="0"/>
            <wp:positionH relativeFrom="page">
              <wp:posOffset>404495</wp:posOffset>
            </wp:positionH>
            <wp:positionV relativeFrom="page">
              <wp:posOffset>363855</wp:posOffset>
            </wp:positionV>
            <wp:extent cx="6803390" cy="1360170"/>
            <wp:effectExtent l="0" t="0" r="0" b="0"/>
            <wp:wrapTopAndBottom/>
            <wp:docPr id="2" name="Picture 2" descr="Local Government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eenwmi\AppData\Local\Microsoft\Windows\Temporary Internet Files\Content.Word\Word banner image purple and orange-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3390" cy="13601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C0342C" w14:textId="77777777" w:rsidR="00D741A8" w:rsidRPr="003D1D36" w:rsidRDefault="00D741A8" w:rsidP="00D741A8">
      <w:pPr>
        <w:pStyle w:val="Date"/>
        <w:rPr>
          <w:b/>
          <w:sz w:val="32"/>
          <w:szCs w:val="32"/>
        </w:rPr>
      </w:pPr>
      <w:r w:rsidRPr="003D1D36">
        <w:rPr>
          <w:b/>
          <w:sz w:val="32"/>
          <w:szCs w:val="32"/>
        </w:rPr>
        <w:t>Media release</w:t>
      </w:r>
    </w:p>
    <w:p w14:paraId="41C0342D" w14:textId="00144D9A" w:rsidR="00D741A8" w:rsidRDefault="00665D16" w:rsidP="00D741A8">
      <w:pPr>
        <w:pStyle w:val="Date"/>
        <w:jc w:val="right"/>
      </w:pPr>
      <w:r>
        <w:t>1</w:t>
      </w:r>
      <w:r w:rsidR="00D741A8">
        <w:t xml:space="preserve"> </w:t>
      </w:r>
      <w:r>
        <w:t>April</w:t>
      </w:r>
      <w:r w:rsidR="00D741A8">
        <w:t xml:space="preserve"> 2019</w:t>
      </w:r>
    </w:p>
    <w:p w14:paraId="41C0342E" w14:textId="77777777" w:rsidR="00D741A8" w:rsidRDefault="00D741A8" w:rsidP="00D741A8"/>
    <w:p w14:paraId="41C0342F" w14:textId="3071662E" w:rsidR="00D741A8" w:rsidRPr="003D1D36" w:rsidRDefault="00D741A8" w:rsidP="00D741A8">
      <w:pPr>
        <w:pStyle w:val="Heading4"/>
        <w:spacing w:before="120"/>
        <w:jc w:val="center"/>
        <w:rPr>
          <w:rFonts w:cs="Arial"/>
          <w:i w:val="0"/>
          <w:color w:val="auto"/>
          <w:sz w:val="32"/>
          <w:szCs w:val="32"/>
        </w:rPr>
      </w:pPr>
      <w:r w:rsidRPr="003D1D36">
        <w:rPr>
          <w:rFonts w:cs="Arial"/>
          <w:i w:val="0"/>
          <w:color w:val="auto"/>
          <w:sz w:val="32"/>
          <w:szCs w:val="32"/>
        </w:rPr>
        <w:t xml:space="preserve">Commission announces decision on representation arrangements for </w:t>
      </w:r>
      <w:r w:rsidR="00665D16">
        <w:rPr>
          <w:rFonts w:cs="Arial"/>
          <w:i w:val="0"/>
          <w:color w:val="auto"/>
          <w:sz w:val="32"/>
          <w:szCs w:val="32"/>
        </w:rPr>
        <w:t>Horizons</w:t>
      </w:r>
      <w:r w:rsidRPr="003D1D36">
        <w:rPr>
          <w:rFonts w:cs="Arial"/>
          <w:i w:val="0"/>
          <w:color w:val="auto"/>
          <w:sz w:val="32"/>
          <w:szCs w:val="32"/>
        </w:rPr>
        <w:t xml:space="preserve"> Regional Council</w:t>
      </w:r>
    </w:p>
    <w:p w14:paraId="41C03430" w14:textId="77777777" w:rsidR="00D741A8" w:rsidRDefault="00D741A8" w:rsidP="00D741A8">
      <w:pPr>
        <w:spacing w:after="0"/>
        <w:rPr>
          <w:rFonts w:ascii="Arial" w:hAnsi="Arial" w:cs="Arial"/>
          <w:sz w:val="24"/>
        </w:rPr>
      </w:pPr>
    </w:p>
    <w:p w14:paraId="41C03431" w14:textId="10C2CF50" w:rsidR="00D741A8" w:rsidRPr="00230C61" w:rsidRDefault="00D741A8" w:rsidP="00D741A8">
      <w:pPr>
        <w:jc w:val="both"/>
        <w:rPr>
          <w:rFonts w:cs="Arial"/>
          <w:sz w:val="24"/>
          <w:szCs w:val="24"/>
        </w:rPr>
      </w:pPr>
      <w:r w:rsidRPr="00230C61">
        <w:rPr>
          <w:rFonts w:cs="Arial"/>
          <w:sz w:val="24"/>
          <w:szCs w:val="24"/>
        </w:rPr>
        <w:t xml:space="preserve">The Local Government Commission today announced its decision that </w:t>
      </w:r>
      <w:r>
        <w:rPr>
          <w:rFonts w:cs="Arial"/>
          <w:sz w:val="24"/>
          <w:szCs w:val="24"/>
        </w:rPr>
        <w:t>existing representation</w:t>
      </w:r>
      <w:r w:rsidRPr="00230C61">
        <w:rPr>
          <w:rFonts w:cs="Arial"/>
          <w:sz w:val="24"/>
          <w:szCs w:val="24"/>
        </w:rPr>
        <w:t xml:space="preserve"> arrangements for </w:t>
      </w:r>
      <w:r w:rsidR="00665D16">
        <w:rPr>
          <w:rFonts w:cs="Arial"/>
          <w:sz w:val="24"/>
          <w:szCs w:val="24"/>
        </w:rPr>
        <w:t>Horizons</w:t>
      </w:r>
      <w:r>
        <w:rPr>
          <w:rFonts w:cs="Arial"/>
          <w:sz w:val="24"/>
          <w:szCs w:val="24"/>
        </w:rPr>
        <w:t xml:space="preserve"> Regional</w:t>
      </w:r>
      <w:r w:rsidRPr="00230C61">
        <w:rPr>
          <w:rFonts w:cs="Arial"/>
          <w:sz w:val="24"/>
          <w:szCs w:val="24"/>
        </w:rPr>
        <w:t xml:space="preserve"> Council </w:t>
      </w:r>
      <w:r>
        <w:rPr>
          <w:rFonts w:cs="Arial"/>
          <w:sz w:val="24"/>
          <w:szCs w:val="24"/>
        </w:rPr>
        <w:t xml:space="preserve">will </w:t>
      </w:r>
      <w:r w:rsidR="00665D16">
        <w:rPr>
          <w:rFonts w:cs="Arial"/>
          <w:sz w:val="24"/>
          <w:szCs w:val="24"/>
        </w:rPr>
        <w:t xml:space="preserve">largely </w:t>
      </w:r>
      <w:r w:rsidRPr="00230C61">
        <w:rPr>
          <w:rFonts w:cs="Arial"/>
          <w:sz w:val="24"/>
          <w:szCs w:val="24"/>
        </w:rPr>
        <w:t>apply</w:t>
      </w:r>
      <w:r>
        <w:rPr>
          <w:rFonts w:cs="Arial"/>
          <w:sz w:val="24"/>
          <w:szCs w:val="24"/>
        </w:rPr>
        <w:t xml:space="preserve"> </w:t>
      </w:r>
      <w:r w:rsidRPr="00230C61">
        <w:rPr>
          <w:rFonts w:cs="Arial"/>
          <w:sz w:val="24"/>
          <w:szCs w:val="24"/>
        </w:rPr>
        <w:t>for the 201</w:t>
      </w:r>
      <w:r>
        <w:rPr>
          <w:rFonts w:cs="Arial"/>
          <w:sz w:val="24"/>
          <w:szCs w:val="24"/>
        </w:rPr>
        <w:t>9</w:t>
      </w:r>
      <w:r w:rsidRPr="00230C61">
        <w:rPr>
          <w:rFonts w:cs="Arial"/>
          <w:sz w:val="24"/>
          <w:szCs w:val="24"/>
        </w:rPr>
        <w:t xml:space="preserve"> local authority elections.</w:t>
      </w:r>
    </w:p>
    <w:p w14:paraId="212B0686" w14:textId="36AEEB4C" w:rsidR="00665D16" w:rsidRDefault="00D741A8" w:rsidP="00D741A8">
      <w:pPr>
        <w:jc w:val="both"/>
        <w:rPr>
          <w:rFonts w:cs="Arial"/>
          <w:sz w:val="24"/>
          <w:szCs w:val="24"/>
        </w:rPr>
      </w:pPr>
      <w:r w:rsidRPr="00230C61">
        <w:rPr>
          <w:rFonts w:cs="Arial"/>
          <w:sz w:val="24"/>
          <w:szCs w:val="24"/>
        </w:rPr>
        <w:t xml:space="preserve">The Commission </w:t>
      </w:r>
      <w:r>
        <w:rPr>
          <w:rFonts w:cs="Arial"/>
          <w:sz w:val="24"/>
          <w:szCs w:val="24"/>
        </w:rPr>
        <w:t xml:space="preserve">has </w:t>
      </w:r>
      <w:r w:rsidR="00665D16">
        <w:rPr>
          <w:rFonts w:cs="Arial"/>
          <w:sz w:val="24"/>
          <w:szCs w:val="24"/>
        </w:rPr>
        <w:t>endorsed</w:t>
      </w:r>
      <w:r>
        <w:rPr>
          <w:rFonts w:cs="Arial"/>
          <w:sz w:val="24"/>
          <w:szCs w:val="24"/>
        </w:rPr>
        <w:t xml:space="preserve"> the decision of </w:t>
      </w:r>
      <w:r w:rsidR="00665D16">
        <w:rPr>
          <w:rFonts w:cs="Arial"/>
          <w:sz w:val="24"/>
          <w:szCs w:val="24"/>
        </w:rPr>
        <w:t>Horizons</w:t>
      </w:r>
      <w:r>
        <w:rPr>
          <w:rFonts w:cs="Arial"/>
          <w:sz w:val="24"/>
          <w:szCs w:val="24"/>
        </w:rPr>
        <w:t xml:space="preserve"> Regional Council that the existing arrangements of 1</w:t>
      </w:r>
      <w:r w:rsidR="00665D16">
        <w:rPr>
          <w:rFonts w:cs="Arial"/>
          <w:sz w:val="24"/>
          <w:szCs w:val="24"/>
        </w:rPr>
        <w:t>2</w:t>
      </w:r>
      <w:r>
        <w:rPr>
          <w:rFonts w:cs="Arial"/>
          <w:sz w:val="24"/>
          <w:szCs w:val="24"/>
        </w:rPr>
        <w:t xml:space="preserve"> councillors elected from six constituencies will </w:t>
      </w:r>
      <w:r w:rsidR="00665D16">
        <w:rPr>
          <w:rFonts w:cs="Arial"/>
          <w:sz w:val="24"/>
          <w:szCs w:val="24"/>
        </w:rPr>
        <w:t xml:space="preserve">continue to </w:t>
      </w:r>
      <w:r>
        <w:rPr>
          <w:rFonts w:cs="Arial"/>
          <w:sz w:val="24"/>
          <w:szCs w:val="24"/>
        </w:rPr>
        <w:t>apply for</w:t>
      </w:r>
      <w:r w:rsidR="00665D16">
        <w:rPr>
          <w:rFonts w:cs="Arial"/>
          <w:sz w:val="24"/>
          <w:szCs w:val="24"/>
        </w:rPr>
        <w:t xml:space="preserve"> the October elections. However, there will be one boundary alteration with all of Manawatu District now included within an extended </w:t>
      </w:r>
      <w:proofErr w:type="spellStart"/>
      <w:r w:rsidR="00665D16">
        <w:rPr>
          <w:rFonts w:cs="Arial"/>
          <w:sz w:val="24"/>
          <w:szCs w:val="24"/>
        </w:rPr>
        <w:t>Manawatū</w:t>
      </w:r>
      <w:proofErr w:type="spellEnd"/>
      <w:r w:rsidR="00665D16">
        <w:rPr>
          <w:rFonts w:cs="Arial"/>
          <w:sz w:val="24"/>
          <w:szCs w:val="24"/>
        </w:rPr>
        <w:t>-Rangi</w:t>
      </w:r>
      <w:r w:rsidR="0009009E">
        <w:rPr>
          <w:rFonts w:cs="Arial"/>
          <w:sz w:val="24"/>
          <w:szCs w:val="24"/>
        </w:rPr>
        <w:t>ti</w:t>
      </w:r>
      <w:r w:rsidR="00665D16">
        <w:rPr>
          <w:rFonts w:cs="Arial"/>
          <w:sz w:val="24"/>
          <w:szCs w:val="24"/>
        </w:rPr>
        <w:t>kei C</w:t>
      </w:r>
      <w:r>
        <w:rPr>
          <w:rFonts w:cs="Arial"/>
          <w:sz w:val="24"/>
          <w:szCs w:val="24"/>
        </w:rPr>
        <w:t>onstituenc</w:t>
      </w:r>
      <w:r w:rsidR="00665D16">
        <w:rPr>
          <w:rFonts w:cs="Arial"/>
          <w:sz w:val="24"/>
          <w:szCs w:val="24"/>
        </w:rPr>
        <w:t xml:space="preserve">y. Consequentially the area of </w:t>
      </w:r>
      <w:proofErr w:type="spellStart"/>
      <w:r w:rsidR="00665D16">
        <w:rPr>
          <w:rFonts w:cs="Arial"/>
          <w:sz w:val="24"/>
          <w:szCs w:val="24"/>
        </w:rPr>
        <w:t>Horowhenua</w:t>
      </w:r>
      <w:proofErr w:type="spellEnd"/>
      <w:r w:rsidR="00665D16">
        <w:rPr>
          <w:rFonts w:cs="Arial"/>
          <w:sz w:val="24"/>
          <w:szCs w:val="24"/>
        </w:rPr>
        <w:t xml:space="preserve"> District alone will form a new </w:t>
      </w:r>
      <w:proofErr w:type="spellStart"/>
      <w:r w:rsidR="00665D16">
        <w:rPr>
          <w:rFonts w:cs="Arial"/>
          <w:sz w:val="24"/>
          <w:szCs w:val="24"/>
        </w:rPr>
        <w:t>Horowhenua</w:t>
      </w:r>
      <w:proofErr w:type="spellEnd"/>
      <w:r w:rsidR="00665D16">
        <w:rPr>
          <w:rFonts w:cs="Arial"/>
          <w:sz w:val="24"/>
          <w:szCs w:val="24"/>
        </w:rPr>
        <w:t xml:space="preserve"> Constituency.</w:t>
      </w:r>
    </w:p>
    <w:p w14:paraId="41C03432" w14:textId="63C9374F" w:rsidR="00D741A8" w:rsidRPr="00230C61" w:rsidRDefault="0009009E" w:rsidP="00D741A8">
      <w:pPr>
        <w:jc w:val="both"/>
        <w:rPr>
          <w:rFonts w:cs="Arial"/>
          <w:sz w:val="24"/>
          <w:szCs w:val="24"/>
        </w:rPr>
      </w:pPr>
      <w:r>
        <w:rPr>
          <w:rFonts w:cs="Arial"/>
          <w:sz w:val="24"/>
          <w:szCs w:val="24"/>
        </w:rPr>
        <w:t>In endorsing the retention of six constituencies, the Commission also agreed with the council that, given the size and nature of the area, a separate Ruapehu Constituency electing one councillor should be retained. This is despite this constituency being significantly outside legislative fair representation requirements defined in terms of the ratio of population per councillor</w:t>
      </w:r>
      <w:r w:rsidR="0013743E">
        <w:rPr>
          <w:rFonts w:cs="Arial"/>
          <w:sz w:val="24"/>
          <w:szCs w:val="24"/>
        </w:rPr>
        <w:t xml:space="preserve"> i.e. outside the permitted</w:t>
      </w:r>
      <w:bookmarkStart w:id="0" w:name="_GoBack"/>
      <w:bookmarkEnd w:id="0"/>
      <w:r w:rsidR="0013743E">
        <w:rPr>
          <w:rFonts w:cs="Arial"/>
          <w:sz w:val="24"/>
          <w:szCs w:val="24"/>
        </w:rPr>
        <w:t xml:space="preserve"> +/-10% of the average for the region as a whole</w:t>
      </w:r>
      <w:r>
        <w:rPr>
          <w:rFonts w:cs="Arial"/>
          <w:sz w:val="24"/>
          <w:szCs w:val="24"/>
        </w:rPr>
        <w:t xml:space="preserve">.  The Commission sees this </w:t>
      </w:r>
      <w:r w:rsidR="000E7989">
        <w:rPr>
          <w:rFonts w:cs="Arial"/>
          <w:sz w:val="24"/>
          <w:szCs w:val="24"/>
        </w:rPr>
        <w:t xml:space="preserve">decision </w:t>
      </w:r>
      <w:r>
        <w:rPr>
          <w:rFonts w:cs="Arial"/>
          <w:sz w:val="24"/>
          <w:szCs w:val="24"/>
        </w:rPr>
        <w:t>as reflecting a good balance between both fair and effective representation requirements</w:t>
      </w:r>
      <w:r w:rsidR="000E7989">
        <w:rPr>
          <w:rFonts w:cs="Arial"/>
          <w:sz w:val="24"/>
          <w:szCs w:val="24"/>
        </w:rPr>
        <w:t>. This variation</w:t>
      </w:r>
      <w:r>
        <w:rPr>
          <w:rFonts w:cs="Arial"/>
          <w:sz w:val="24"/>
          <w:szCs w:val="24"/>
        </w:rPr>
        <w:t xml:space="preserve"> also applies in respect of several other approved constituencies</w:t>
      </w:r>
      <w:r w:rsidR="00D741A8" w:rsidRPr="00230C61">
        <w:rPr>
          <w:rFonts w:cs="Arial"/>
          <w:sz w:val="24"/>
          <w:szCs w:val="24"/>
        </w:rPr>
        <w:t xml:space="preserve">. </w:t>
      </w:r>
      <w:r w:rsidR="00D741A8">
        <w:rPr>
          <w:rFonts w:cs="Arial"/>
          <w:sz w:val="24"/>
          <w:szCs w:val="24"/>
        </w:rPr>
        <w:t xml:space="preserve"> </w:t>
      </w:r>
    </w:p>
    <w:p w14:paraId="41C03433" w14:textId="0B3D3B0A" w:rsidR="00D741A8" w:rsidRPr="00230C61" w:rsidRDefault="00D741A8" w:rsidP="00D741A8">
      <w:pPr>
        <w:jc w:val="both"/>
        <w:rPr>
          <w:rFonts w:cs="Arial"/>
          <w:sz w:val="24"/>
          <w:szCs w:val="24"/>
        </w:rPr>
      </w:pPr>
      <w:r>
        <w:rPr>
          <w:rFonts w:cs="Arial"/>
          <w:sz w:val="24"/>
          <w:szCs w:val="24"/>
        </w:rPr>
        <w:t>Two appeals against the council’s proposal were received. However, t</w:t>
      </w:r>
      <w:r w:rsidRPr="00230C61">
        <w:rPr>
          <w:rFonts w:cs="Arial"/>
          <w:sz w:val="24"/>
          <w:szCs w:val="24"/>
        </w:rPr>
        <w:t xml:space="preserve">he Commission has agreed </w:t>
      </w:r>
      <w:r>
        <w:rPr>
          <w:rFonts w:cs="Arial"/>
          <w:sz w:val="24"/>
          <w:szCs w:val="24"/>
        </w:rPr>
        <w:t xml:space="preserve">with the council that the proposed non-compliance </w:t>
      </w:r>
      <w:r w:rsidR="000E7989">
        <w:rPr>
          <w:rFonts w:cs="Arial"/>
          <w:sz w:val="24"/>
          <w:szCs w:val="24"/>
        </w:rPr>
        <w:t>with fair representation requ</w:t>
      </w:r>
      <w:r>
        <w:rPr>
          <w:rFonts w:cs="Arial"/>
          <w:sz w:val="24"/>
          <w:szCs w:val="24"/>
        </w:rPr>
        <w:t>i</w:t>
      </w:r>
      <w:r w:rsidR="000E7989">
        <w:rPr>
          <w:rFonts w:cs="Arial"/>
          <w:sz w:val="24"/>
          <w:szCs w:val="24"/>
        </w:rPr>
        <w:t>rement</w:t>
      </w:r>
      <w:r>
        <w:rPr>
          <w:rFonts w:cs="Arial"/>
          <w:sz w:val="24"/>
          <w:szCs w:val="24"/>
        </w:rPr>
        <w:t>s</w:t>
      </w:r>
      <w:r w:rsidR="000E7989">
        <w:rPr>
          <w:rFonts w:cs="Arial"/>
          <w:sz w:val="24"/>
          <w:szCs w:val="24"/>
        </w:rPr>
        <w:t xml:space="preserve"> is</w:t>
      </w:r>
      <w:r>
        <w:rPr>
          <w:rFonts w:cs="Arial"/>
          <w:sz w:val="24"/>
          <w:szCs w:val="24"/>
        </w:rPr>
        <w:t xml:space="preserve"> necessary to provide effective representation for </w:t>
      </w:r>
      <w:proofErr w:type="gramStart"/>
      <w:r w:rsidR="000E7989">
        <w:rPr>
          <w:rFonts w:cs="Arial"/>
          <w:sz w:val="24"/>
          <w:szCs w:val="24"/>
        </w:rPr>
        <w:t>particular constituencies</w:t>
      </w:r>
      <w:proofErr w:type="gramEnd"/>
      <w:r>
        <w:rPr>
          <w:rFonts w:cs="Arial"/>
          <w:sz w:val="24"/>
          <w:szCs w:val="24"/>
        </w:rPr>
        <w:t>.</w:t>
      </w:r>
    </w:p>
    <w:p w14:paraId="41C03434" w14:textId="7B0D7448" w:rsidR="00D741A8" w:rsidRPr="00230C61" w:rsidRDefault="00D741A8" w:rsidP="00D741A8">
      <w:pPr>
        <w:jc w:val="both"/>
        <w:rPr>
          <w:rFonts w:cs="Arial"/>
          <w:sz w:val="24"/>
          <w:szCs w:val="24"/>
          <w:lang w:val="en-US"/>
        </w:rPr>
      </w:pPr>
      <w:r w:rsidRPr="00230C61">
        <w:rPr>
          <w:rFonts w:cs="Arial"/>
          <w:sz w:val="24"/>
          <w:szCs w:val="24"/>
        </w:rPr>
        <w:t>The decision means that for the 201</w:t>
      </w:r>
      <w:r>
        <w:rPr>
          <w:rFonts w:cs="Arial"/>
          <w:sz w:val="24"/>
          <w:szCs w:val="24"/>
        </w:rPr>
        <w:t>9</w:t>
      </w:r>
      <w:r w:rsidRPr="00230C61">
        <w:rPr>
          <w:rFonts w:cs="Arial"/>
          <w:sz w:val="24"/>
          <w:szCs w:val="24"/>
        </w:rPr>
        <w:t xml:space="preserve"> local authority elections, </w:t>
      </w:r>
      <w:r w:rsidR="000E7989">
        <w:rPr>
          <w:rFonts w:cs="Arial"/>
          <w:sz w:val="24"/>
          <w:szCs w:val="24"/>
        </w:rPr>
        <w:t>Horizons</w:t>
      </w:r>
      <w:r>
        <w:rPr>
          <w:rFonts w:cs="Arial"/>
          <w:sz w:val="24"/>
          <w:szCs w:val="24"/>
        </w:rPr>
        <w:t xml:space="preserve"> Regional</w:t>
      </w:r>
      <w:r w:rsidRPr="00230C61">
        <w:rPr>
          <w:rFonts w:cs="Arial"/>
          <w:sz w:val="24"/>
          <w:szCs w:val="24"/>
        </w:rPr>
        <w:t xml:space="preserve"> Council will continue to comprise </w:t>
      </w:r>
      <w:r>
        <w:rPr>
          <w:rFonts w:cs="Arial"/>
          <w:sz w:val="24"/>
          <w:szCs w:val="24"/>
        </w:rPr>
        <w:t>1</w:t>
      </w:r>
      <w:r w:rsidR="000E7989">
        <w:rPr>
          <w:rFonts w:cs="Arial"/>
          <w:sz w:val="24"/>
          <w:szCs w:val="24"/>
        </w:rPr>
        <w:t>2</w:t>
      </w:r>
      <w:r w:rsidRPr="00230C61">
        <w:rPr>
          <w:rFonts w:cs="Arial"/>
          <w:sz w:val="24"/>
          <w:szCs w:val="24"/>
        </w:rPr>
        <w:t xml:space="preserve"> councillors </w:t>
      </w:r>
      <w:r>
        <w:rPr>
          <w:rFonts w:cs="Arial"/>
          <w:sz w:val="24"/>
          <w:szCs w:val="24"/>
        </w:rPr>
        <w:t>elected from</w:t>
      </w:r>
      <w:r w:rsidRPr="00230C61">
        <w:rPr>
          <w:rFonts w:cs="Arial"/>
          <w:sz w:val="24"/>
          <w:szCs w:val="24"/>
        </w:rPr>
        <w:t xml:space="preserve"> </w:t>
      </w:r>
      <w:r>
        <w:rPr>
          <w:rFonts w:cs="Arial"/>
          <w:sz w:val="24"/>
          <w:szCs w:val="24"/>
        </w:rPr>
        <w:t>s</w:t>
      </w:r>
      <w:r w:rsidRPr="00230C61">
        <w:rPr>
          <w:rFonts w:cs="Arial"/>
          <w:sz w:val="24"/>
          <w:szCs w:val="24"/>
        </w:rPr>
        <w:t>i</w:t>
      </w:r>
      <w:r>
        <w:rPr>
          <w:rFonts w:cs="Arial"/>
          <w:sz w:val="24"/>
          <w:szCs w:val="24"/>
        </w:rPr>
        <w:t>x</w:t>
      </w:r>
      <w:r w:rsidRPr="00230C61">
        <w:rPr>
          <w:rFonts w:cs="Arial"/>
          <w:sz w:val="24"/>
          <w:szCs w:val="24"/>
        </w:rPr>
        <w:t xml:space="preserve"> co</w:t>
      </w:r>
      <w:r>
        <w:rPr>
          <w:rFonts w:cs="Arial"/>
          <w:sz w:val="24"/>
          <w:szCs w:val="24"/>
        </w:rPr>
        <w:t>nstituencies</w:t>
      </w:r>
      <w:r w:rsidRPr="00230C61">
        <w:rPr>
          <w:rFonts w:cs="Arial"/>
          <w:sz w:val="24"/>
          <w:szCs w:val="24"/>
        </w:rPr>
        <w:t xml:space="preserve"> as follows: </w:t>
      </w:r>
    </w:p>
    <w:p w14:paraId="42E594A9" w14:textId="77777777" w:rsidR="000E7989" w:rsidRDefault="000E7989">
      <w:r>
        <w:br w:type="page"/>
      </w:r>
    </w:p>
    <w:tbl>
      <w:tblPr>
        <w:tblW w:w="0" w:type="auto"/>
        <w:tblInd w:w="130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43"/>
        <w:gridCol w:w="2843"/>
      </w:tblGrid>
      <w:tr w:rsidR="00D741A8" w:rsidRPr="00230C61" w14:paraId="41C03437" w14:textId="77777777" w:rsidTr="001831C0">
        <w:trPr>
          <w:trHeight w:val="451"/>
        </w:trPr>
        <w:tc>
          <w:tcPr>
            <w:tcW w:w="2843" w:type="dxa"/>
            <w:tcBorders>
              <w:top w:val="single" w:sz="12" w:space="0" w:color="auto"/>
              <w:left w:val="single" w:sz="12" w:space="0" w:color="auto"/>
              <w:bottom w:val="single" w:sz="12" w:space="0" w:color="auto"/>
              <w:right w:val="single" w:sz="4" w:space="0" w:color="auto"/>
            </w:tcBorders>
            <w:vAlign w:val="center"/>
            <w:hideMark/>
          </w:tcPr>
          <w:p w14:paraId="41C03435" w14:textId="152B8DA4" w:rsidR="00D741A8" w:rsidRPr="00230C61" w:rsidRDefault="00D741A8" w:rsidP="001831C0">
            <w:pPr>
              <w:keepLines/>
              <w:spacing w:before="120" w:after="240"/>
              <w:jc w:val="center"/>
              <w:rPr>
                <w:rFonts w:cs="Arial"/>
                <w:b/>
                <w:bCs/>
                <w:sz w:val="24"/>
                <w:szCs w:val="24"/>
                <w:lang w:val="en-US"/>
              </w:rPr>
            </w:pPr>
            <w:r>
              <w:rPr>
                <w:rFonts w:cs="Arial"/>
                <w:b/>
                <w:bCs/>
                <w:sz w:val="24"/>
                <w:szCs w:val="24"/>
              </w:rPr>
              <w:lastRenderedPageBreak/>
              <w:t>Constituency</w:t>
            </w:r>
          </w:p>
        </w:tc>
        <w:tc>
          <w:tcPr>
            <w:tcW w:w="2843" w:type="dxa"/>
            <w:tcBorders>
              <w:top w:val="single" w:sz="12" w:space="0" w:color="auto"/>
              <w:left w:val="single" w:sz="4" w:space="0" w:color="auto"/>
              <w:bottom w:val="single" w:sz="12" w:space="0" w:color="auto"/>
              <w:right w:val="single" w:sz="12" w:space="0" w:color="auto"/>
            </w:tcBorders>
            <w:vAlign w:val="center"/>
            <w:hideMark/>
          </w:tcPr>
          <w:p w14:paraId="41C03436" w14:textId="77777777" w:rsidR="00D741A8" w:rsidRPr="00230C61" w:rsidRDefault="00D741A8" w:rsidP="001831C0">
            <w:pPr>
              <w:keepLines/>
              <w:spacing w:before="120" w:after="240"/>
              <w:jc w:val="center"/>
              <w:rPr>
                <w:rFonts w:cs="Arial"/>
                <w:b/>
                <w:bCs/>
                <w:sz w:val="24"/>
                <w:szCs w:val="24"/>
                <w:lang w:val="en-US"/>
              </w:rPr>
            </w:pPr>
            <w:r w:rsidRPr="00230C61">
              <w:rPr>
                <w:rFonts w:cs="Arial"/>
                <w:b/>
                <w:bCs/>
                <w:sz w:val="24"/>
                <w:szCs w:val="24"/>
              </w:rPr>
              <w:t xml:space="preserve">Councillors </w:t>
            </w:r>
          </w:p>
        </w:tc>
      </w:tr>
      <w:tr w:rsidR="00D741A8" w:rsidRPr="00230C61" w14:paraId="41C0343A" w14:textId="77777777" w:rsidTr="001831C0">
        <w:trPr>
          <w:trHeight w:val="393"/>
        </w:trPr>
        <w:tc>
          <w:tcPr>
            <w:tcW w:w="2843" w:type="dxa"/>
            <w:tcBorders>
              <w:top w:val="single" w:sz="12" w:space="0" w:color="auto"/>
              <w:left w:val="single" w:sz="12" w:space="0" w:color="auto"/>
              <w:bottom w:val="single" w:sz="4" w:space="0" w:color="auto"/>
              <w:right w:val="single" w:sz="4" w:space="0" w:color="auto"/>
            </w:tcBorders>
            <w:vAlign w:val="center"/>
            <w:hideMark/>
          </w:tcPr>
          <w:p w14:paraId="41C03438" w14:textId="525149DA" w:rsidR="00D741A8" w:rsidRPr="00230C61" w:rsidRDefault="000E7989" w:rsidP="001831C0">
            <w:pPr>
              <w:keepLines/>
              <w:spacing w:before="120" w:after="240"/>
              <w:rPr>
                <w:rFonts w:cs="Arial"/>
                <w:sz w:val="24"/>
                <w:szCs w:val="24"/>
                <w:lang w:val="en-US"/>
              </w:rPr>
            </w:pPr>
            <w:r>
              <w:rPr>
                <w:rFonts w:cs="Arial"/>
                <w:sz w:val="24"/>
                <w:szCs w:val="24"/>
              </w:rPr>
              <w:t>Ruapehu</w:t>
            </w:r>
          </w:p>
        </w:tc>
        <w:tc>
          <w:tcPr>
            <w:tcW w:w="2843" w:type="dxa"/>
            <w:tcBorders>
              <w:top w:val="single" w:sz="12" w:space="0" w:color="auto"/>
              <w:left w:val="single" w:sz="4" w:space="0" w:color="auto"/>
              <w:bottom w:val="single" w:sz="4" w:space="0" w:color="auto"/>
              <w:right w:val="single" w:sz="12" w:space="0" w:color="auto"/>
            </w:tcBorders>
            <w:vAlign w:val="center"/>
            <w:hideMark/>
          </w:tcPr>
          <w:p w14:paraId="41C03439" w14:textId="77777777" w:rsidR="00D741A8" w:rsidRPr="00230C61" w:rsidRDefault="00D741A8" w:rsidP="001831C0">
            <w:pPr>
              <w:keepLines/>
              <w:spacing w:before="120" w:after="240"/>
              <w:jc w:val="center"/>
              <w:rPr>
                <w:rFonts w:cs="Arial"/>
                <w:sz w:val="24"/>
                <w:szCs w:val="24"/>
                <w:lang w:val="en-US"/>
              </w:rPr>
            </w:pPr>
            <w:r w:rsidRPr="00230C61">
              <w:rPr>
                <w:rFonts w:cs="Arial"/>
                <w:sz w:val="24"/>
                <w:szCs w:val="24"/>
              </w:rPr>
              <w:t>1</w:t>
            </w:r>
          </w:p>
        </w:tc>
      </w:tr>
      <w:tr w:rsidR="00D741A8" w:rsidRPr="00230C61" w14:paraId="41C0343D" w14:textId="77777777" w:rsidTr="001831C0">
        <w:trPr>
          <w:trHeight w:val="418"/>
        </w:trPr>
        <w:tc>
          <w:tcPr>
            <w:tcW w:w="2843" w:type="dxa"/>
            <w:tcBorders>
              <w:top w:val="single" w:sz="4" w:space="0" w:color="auto"/>
              <w:left w:val="single" w:sz="12" w:space="0" w:color="auto"/>
              <w:bottom w:val="single" w:sz="4" w:space="0" w:color="auto"/>
              <w:right w:val="single" w:sz="4" w:space="0" w:color="auto"/>
            </w:tcBorders>
            <w:vAlign w:val="center"/>
            <w:hideMark/>
          </w:tcPr>
          <w:p w14:paraId="41C0343B" w14:textId="437CE366" w:rsidR="00D741A8" w:rsidRPr="00230C61" w:rsidRDefault="000E7989" w:rsidP="001831C0">
            <w:pPr>
              <w:keepLines/>
              <w:spacing w:before="120" w:after="240"/>
              <w:rPr>
                <w:rFonts w:cs="Arial"/>
                <w:sz w:val="24"/>
                <w:szCs w:val="24"/>
                <w:lang w:val="en-US"/>
              </w:rPr>
            </w:pPr>
            <w:r>
              <w:rPr>
                <w:rFonts w:cs="Arial"/>
                <w:sz w:val="24"/>
                <w:szCs w:val="24"/>
              </w:rPr>
              <w:t>Whanganui</w:t>
            </w:r>
          </w:p>
        </w:tc>
        <w:tc>
          <w:tcPr>
            <w:tcW w:w="2843" w:type="dxa"/>
            <w:tcBorders>
              <w:top w:val="single" w:sz="4" w:space="0" w:color="auto"/>
              <w:left w:val="single" w:sz="4" w:space="0" w:color="auto"/>
              <w:bottom w:val="single" w:sz="4" w:space="0" w:color="auto"/>
              <w:right w:val="single" w:sz="12" w:space="0" w:color="auto"/>
            </w:tcBorders>
            <w:vAlign w:val="center"/>
            <w:hideMark/>
          </w:tcPr>
          <w:p w14:paraId="41C0343C" w14:textId="77777777" w:rsidR="00D741A8" w:rsidRPr="00230C61" w:rsidRDefault="00D741A8" w:rsidP="001831C0">
            <w:pPr>
              <w:keepLines/>
              <w:spacing w:before="120" w:after="240"/>
              <w:jc w:val="center"/>
              <w:rPr>
                <w:rFonts w:cs="Arial"/>
                <w:sz w:val="24"/>
                <w:szCs w:val="24"/>
                <w:lang w:val="en-US"/>
              </w:rPr>
            </w:pPr>
            <w:r>
              <w:rPr>
                <w:rFonts w:cs="Arial"/>
                <w:sz w:val="24"/>
                <w:szCs w:val="24"/>
              </w:rPr>
              <w:t>2</w:t>
            </w:r>
          </w:p>
        </w:tc>
      </w:tr>
      <w:tr w:rsidR="00D741A8" w:rsidRPr="00230C61" w14:paraId="41C03440" w14:textId="77777777" w:rsidTr="001831C0">
        <w:trPr>
          <w:trHeight w:val="418"/>
        </w:trPr>
        <w:tc>
          <w:tcPr>
            <w:tcW w:w="2843" w:type="dxa"/>
            <w:tcBorders>
              <w:top w:val="single" w:sz="4" w:space="0" w:color="auto"/>
              <w:left w:val="single" w:sz="12" w:space="0" w:color="auto"/>
              <w:bottom w:val="single" w:sz="4" w:space="0" w:color="auto"/>
              <w:right w:val="single" w:sz="4" w:space="0" w:color="auto"/>
            </w:tcBorders>
            <w:vAlign w:val="center"/>
            <w:hideMark/>
          </w:tcPr>
          <w:p w14:paraId="41C0343E" w14:textId="6F2DCCBC" w:rsidR="00D741A8" w:rsidRPr="00230C61" w:rsidRDefault="000E7989" w:rsidP="001831C0">
            <w:pPr>
              <w:keepLines/>
              <w:spacing w:before="120" w:after="240"/>
              <w:rPr>
                <w:rFonts w:cs="Arial"/>
                <w:sz w:val="24"/>
                <w:szCs w:val="24"/>
                <w:lang w:val="en-US"/>
              </w:rPr>
            </w:pPr>
            <w:proofErr w:type="spellStart"/>
            <w:r>
              <w:rPr>
                <w:rFonts w:cs="Arial"/>
                <w:sz w:val="24"/>
                <w:szCs w:val="24"/>
              </w:rPr>
              <w:t>Manawatū</w:t>
            </w:r>
            <w:proofErr w:type="spellEnd"/>
            <w:r>
              <w:rPr>
                <w:rFonts w:cs="Arial"/>
                <w:sz w:val="24"/>
                <w:szCs w:val="24"/>
              </w:rPr>
              <w:t>-Rangitikei</w:t>
            </w:r>
          </w:p>
        </w:tc>
        <w:tc>
          <w:tcPr>
            <w:tcW w:w="2843" w:type="dxa"/>
            <w:tcBorders>
              <w:top w:val="single" w:sz="4" w:space="0" w:color="auto"/>
              <w:left w:val="single" w:sz="4" w:space="0" w:color="auto"/>
              <w:bottom w:val="single" w:sz="4" w:space="0" w:color="auto"/>
              <w:right w:val="single" w:sz="12" w:space="0" w:color="auto"/>
            </w:tcBorders>
            <w:vAlign w:val="center"/>
            <w:hideMark/>
          </w:tcPr>
          <w:p w14:paraId="41C0343F" w14:textId="64E3402C" w:rsidR="00D741A8" w:rsidRPr="00230C61" w:rsidRDefault="000E7989" w:rsidP="001831C0">
            <w:pPr>
              <w:keepLines/>
              <w:spacing w:before="120" w:after="240"/>
              <w:jc w:val="center"/>
              <w:rPr>
                <w:rFonts w:cs="Arial"/>
                <w:sz w:val="24"/>
                <w:szCs w:val="24"/>
                <w:lang w:val="en-US"/>
              </w:rPr>
            </w:pPr>
            <w:r>
              <w:rPr>
                <w:rFonts w:cs="Arial"/>
                <w:sz w:val="24"/>
                <w:szCs w:val="24"/>
              </w:rPr>
              <w:t>2</w:t>
            </w:r>
          </w:p>
        </w:tc>
      </w:tr>
      <w:tr w:rsidR="00D741A8" w:rsidRPr="00230C61" w14:paraId="41C03443" w14:textId="77777777" w:rsidTr="001831C0">
        <w:trPr>
          <w:trHeight w:val="418"/>
        </w:trPr>
        <w:tc>
          <w:tcPr>
            <w:tcW w:w="2843" w:type="dxa"/>
            <w:tcBorders>
              <w:top w:val="single" w:sz="4" w:space="0" w:color="auto"/>
              <w:left w:val="single" w:sz="12" w:space="0" w:color="auto"/>
              <w:bottom w:val="single" w:sz="4" w:space="0" w:color="auto"/>
              <w:right w:val="single" w:sz="4" w:space="0" w:color="auto"/>
            </w:tcBorders>
            <w:vAlign w:val="center"/>
            <w:hideMark/>
          </w:tcPr>
          <w:p w14:paraId="41C03441" w14:textId="6CACD501" w:rsidR="00D741A8" w:rsidRPr="00230C61" w:rsidRDefault="000E7989" w:rsidP="001831C0">
            <w:pPr>
              <w:keepLines/>
              <w:spacing w:before="120" w:after="240"/>
              <w:rPr>
                <w:rFonts w:cs="Arial"/>
                <w:sz w:val="24"/>
                <w:szCs w:val="24"/>
                <w:lang w:val="en-US"/>
              </w:rPr>
            </w:pPr>
            <w:r>
              <w:rPr>
                <w:rFonts w:cs="Arial"/>
                <w:sz w:val="24"/>
                <w:szCs w:val="24"/>
              </w:rPr>
              <w:t>Palmerston North</w:t>
            </w:r>
          </w:p>
        </w:tc>
        <w:tc>
          <w:tcPr>
            <w:tcW w:w="2843" w:type="dxa"/>
            <w:tcBorders>
              <w:top w:val="single" w:sz="4" w:space="0" w:color="auto"/>
              <w:left w:val="single" w:sz="4" w:space="0" w:color="auto"/>
              <w:bottom w:val="single" w:sz="4" w:space="0" w:color="auto"/>
              <w:right w:val="single" w:sz="12" w:space="0" w:color="auto"/>
            </w:tcBorders>
            <w:vAlign w:val="center"/>
            <w:hideMark/>
          </w:tcPr>
          <w:p w14:paraId="41C03442" w14:textId="383FD17E" w:rsidR="00D741A8" w:rsidRPr="00230C61" w:rsidRDefault="000E7989" w:rsidP="001831C0">
            <w:pPr>
              <w:keepLines/>
              <w:spacing w:before="120" w:after="240"/>
              <w:jc w:val="center"/>
              <w:rPr>
                <w:rFonts w:cs="Arial"/>
                <w:sz w:val="24"/>
                <w:szCs w:val="24"/>
                <w:lang w:val="en-US"/>
              </w:rPr>
            </w:pPr>
            <w:r>
              <w:rPr>
                <w:rFonts w:cs="Arial"/>
                <w:sz w:val="24"/>
                <w:szCs w:val="24"/>
              </w:rPr>
              <w:t>4</w:t>
            </w:r>
          </w:p>
        </w:tc>
      </w:tr>
      <w:tr w:rsidR="00D741A8" w:rsidRPr="00230C61" w14:paraId="41C03446" w14:textId="77777777" w:rsidTr="001831C0">
        <w:trPr>
          <w:trHeight w:val="418"/>
        </w:trPr>
        <w:tc>
          <w:tcPr>
            <w:tcW w:w="2843" w:type="dxa"/>
            <w:tcBorders>
              <w:top w:val="single" w:sz="4" w:space="0" w:color="auto"/>
              <w:left w:val="single" w:sz="12" w:space="0" w:color="auto"/>
              <w:bottom w:val="single" w:sz="4" w:space="0" w:color="auto"/>
              <w:right w:val="single" w:sz="4" w:space="0" w:color="auto"/>
            </w:tcBorders>
            <w:vAlign w:val="center"/>
          </w:tcPr>
          <w:p w14:paraId="41C03444" w14:textId="7BF78767" w:rsidR="00D741A8" w:rsidRDefault="000E7989" w:rsidP="001831C0">
            <w:pPr>
              <w:keepLines/>
              <w:spacing w:before="120" w:after="240"/>
              <w:rPr>
                <w:rFonts w:cs="Arial"/>
                <w:sz w:val="24"/>
                <w:szCs w:val="24"/>
              </w:rPr>
            </w:pPr>
            <w:proofErr w:type="spellStart"/>
            <w:r>
              <w:rPr>
                <w:rFonts w:cs="Arial"/>
                <w:sz w:val="24"/>
                <w:szCs w:val="24"/>
              </w:rPr>
              <w:t>Horowhenua</w:t>
            </w:r>
            <w:proofErr w:type="spellEnd"/>
          </w:p>
        </w:tc>
        <w:tc>
          <w:tcPr>
            <w:tcW w:w="2843" w:type="dxa"/>
            <w:tcBorders>
              <w:top w:val="single" w:sz="4" w:space="0" w:color="auto"/>
              <w:left w:val="single" w:sz="4" w:space="0" w:color="auto"/>
              <w:bottom w:val="single" w:sz="4" w:space="0" w:color="auto"/>
              <w:right w:val="single" w:sz="12" w:space="0" w:color="auto"/>
            </w:tcBorders>
            <w:vAlign w:val="center"/>
          </w:tcPr>
          <w:p w14:paraId="41C03445" w14:textId="7670601D" w:rsidR="00D741A8" w:rsidRDefault="000E7989" w:rsidP="001831C0">
            <w:pPr>
              <w:keepLines/>
              <w:spacing w:before="120" w:after="240"/>
              <w:jc w:val="center"/>
              <w:rPr>
                <w:rFonts w:cs="Arial"/>
                <w:sz w:val="24"/>
                <w:szCs w:val="24"/>
              </w:rPr>
            </w:pPr>
            <w:r>
              <w:rPr>
                <w:rFonts w:cs="Arial"/>
                <w:sz w:val="24"/>
                <w:szCs w:val="24"/>
              </w:rPr>
              <w:t>2</w:t>
            </w:r>
          </w:p>
        </w:tc>
      </w:tr>
      <w:tr w:rsidR="00D741A8" w:rsidRPr="00230C61" w14:paraId="41C03449" w14:textId="77777777" w:rsidTr="001831C0">
        <w:trPr>
          <w:trHeight w:val="418"/>
        </w:trPr>
        <w:tc>
          <w:tcPr>
            <w:tcW w:w="2843" w:type="dxa"/>
            <w:tcBorders>
              <w:top w:val="single" w:sz="4" w:space="0" w:color="auto"/>
              <w:left w:val="single" w:sz="12" w:space="0" w:color="auto"/>
              <w:bottom w:val="single" w:sz="4" w:space="0" w:color="auto"/>
              <w:right w:val="single" w:sz="4" w:space="0" w:color="auto"/>
            </w:tcBorders>
            <w:vAlign w:val="center"/>
          </w:tcPr>
          <w:p w14:paraId="41C03447" w14:textId="49CE94B4" w:rsidR="00D741A8" w:rsidRDefault="000E7989" w:rsidP="001831C0">
            <w:pPr>
              <w:keepLines/>
              <w:spacing w:before="120" w:after="240"/>
              <w:rPr>
                <w:rFonts w:cs="Arial"/>
                <w:sz w:val="24"/>
                <w:szCs w:val="24"/>
              </w:rPr>
            </w:pPr>
            <w:proofErr w:type="spellStart"/>
            <w:r>
              <w:rPr>
                <w:rFonts w:cs="Arial"/>
                <w:sz w:val="24"/>
                <w:szCs w:val="24"/>
              </w:rPr>
              <w:t>Tararua</w:t>
            </w:r>
            <w:proofErr w:type="spellEnd"/>
          </w:p>
        </w:tc>
        <w:tc>
          <w:tcPr>
            <w:tcW w:w="2843" w:type="dxa"/>
            <w:tcBorders>
              <w:top w:val="single" w:sz="4" w:space="0" w:color="auto"/>
              <w:left w:val="single" w:sz="4" w:space="0" w:color="auto"/>
              <w:bottom w:val="single" w:sz="4" w:space="0" w:color="auto"/>
              <w:right w:val="single" w:sz="12" w:space="0" w:color="auto"/>
            </w:tcBorders>
            <w:vAlign w:val="center"/>
          </w:tcPr>
          <w:p w14:paraId="41C03448" w14:textId="77777777" w:rsidR="00D741A8" w:rsidRDefault="00D741A8" w:rsidP="001831C0">
            <w:pPr>
              <w:keepLines/>
              <w:spacing w:before="120" w:after="240"/>
              <w:jc w:val="center"/>
              <w:rPr>
                <w:rFonts w:cs="Arial"/>
                <w:sz w:val="24"/>
                <w:szCs w:val="24"/>
              </w:rPr>
            </w:pPr>
            <w:r>
              <w:rPr>
                <w:rFonts w:cs="Arial"/>
                <w:sz w:val="24"/>
                <w:szCs w:val="24"/>
              </w:rPr>
              <w:t>1</w:t>
            </w:r>
          </w:p>
        </w:tc>
      </w:tr>
    </w:tbl>
    <w:p w14:paraId="41C0344A" w14:textId="77777777" w:rsidR="00D741A8" w:rsidRDefault="00D741A8" w:rsidP="00D741A8">
      <w:pPr>
        <w:jc w:val="both"/>
        <w:rPr>
          <w:rFonts w:cs="Arial"/>
          <w:sz w:val="24"/>
          <w:szCs w:val="24"/>
        </w:rPr>
      </w:pPr>
    </w:p>
    <w:p w14:paraId="41C0344B" w14:textId="77777777" w:rsidR="00D741A8" w:rsidRPr="00230C61" w:rsidRDefault="00D741A8" w:rsidP="00D741A8">
      <w:pPr>
        <w:jc w:val="both"/>
        <w:rPr>
          <w:rFonts w:cs="Arial"/>
          <w:sz w:val="24"/>
          <w:szCs w:val="24"/>
        </w:rPr>
      </w:pPr>
      <w:r w:rsidRPr="00230C61">
        <w:rPr>
          <w:rFonts w:cs="Arial"/>
          <w:sz w:val="24"/>
          <w:szCs w:val="24"/>
        </w:rPr>
        <w:t xml:space="preserve">The determination is available on the Commission’s website: </w:t>
      </w:r>
      <w:hyperlink r:id="rId9" w:history="1">
        <w:r w:rsidRPr="00230C61">
          <w:rPr>
            <w:rStyle w:val="Hyperlink"/>
            <w:rFonts w:cs="Arial"/>
            <w:sz w:val="24"/>
            <w:szCs w:val="24"/>
          </w:rPr>
          <w:t>www.lgc.govt.nz</w:t>
        </w:r>
      </w:hyperlink>
      <w:r w:rsidRPr="00230C61">
        <w:rPr>
          <w:rFonts w:cs="Arial"/>
          <w:sz w:val="24"/>
          <w:szCs w:val="24"/>
        </w:rPr>
        <w:t xml:space="preserve"> </w:t>
      </w:r>
    </w:p>
    <w:p w14:paraId="41C0344C" w14:textId="77777777" w:rsidR="00D741A8" w:rsidRDefault="00D741A8" w:rsidP="00D741A8">
      <w:pPr>
        <w:rPr>
          <w:sz w:val="24"/>
          <w:szCs w:val="24"/>
        </w:rPr>
      </w:pPr>
    </w:p>
    <w:p w14:paraId="41C0344D" w14:textId="77777777" w:rsidR="00D741A8" w:rsidRDefault="00D741A8" w:rsidP="00D741A8">
      <w:pPr>
        <w:spacing w:after="0" w:line="240" w:lineRule="auto"/>
        <w:rPr>
          <w:sz w:val="20"/>
          <w:szCs w:val="20"/>
        </w:rPr>
      </w:pPr>
    </w:p>
    <w:p w14:paraId="41C0344E" w14:textId="77777777" w:rsidR="00D741A8" w:rsidRDefault="00D741A8" w:rsidP="00D741A8">
      <w:pPr>
        <w:pStyle w:val="Ends"/>
        <w:spacing w:before="0" w:after="0"/>
        <w:rPr>
          <w:sz w:val="20"/>
          <w:szCs w:val="20"/>
        </w:rPr>
      </w:pPr>
      <w:r>
        <w:rPr>
          <w:sz w:val="20"/>
          <w:szCs w:val="20"/>
        </w:rPr>
        <w:t>Ends</w:t>
      </w:r>
    </w:p>
    <w:p w14:paraId="41C0344F" w14:textId="77777777" w:rsidR="00D741A8" w:rsidRDefault="00D741A8" w:rsidP="00D741A8">
      <w:pPr>
        <w:spacing w:after="0" w:line="240" w:lineRule="auto"/>
        <w:rPr>
          <w:sz w:val="20"/>
          <w:szCs w:val="20"/>
        </w:rPr>
      </w:pPr>
    </w:p>
    <w:p w14:paraId="41C03450" w14:textId="77777777" w:rsidR="00D741A8" w:rsidRDefault="00D741A8" w:rsidP="00D741A8">
      <w:pPr>
        <w:spacing w:after="0" w:line="240" w:lineRule="auto"/>
        <w:rPr>
          <w:sz w:val="20"/>
          <w:szCs w:val="20"/>
        </w:rPr>
      </w:pPr>
      <w:r>
        <w:rPr>
          <w:sz w:val="20"/>
          <w:szCs w:val="20"/>
        </w:rPr>
        <w:t>Media contact:</w:t>
      </w:r>
    </w:p>
    <w:p w14:paraId="41C03451" w14:textId="77777777" w:rsidR="00D741A8" w:rsidRDefault="00D741A8" w:rsidP="00D741A8">
      <w:pPr>
        <w:spacing w:after="0" w:line="240" w:lineRule="auto"/>
        <w:rPr>
          <w:sz w:val="20"/>
          <w:szCs w:val="20"/>
        </w:rPr>
      </w:pPr>
    </w:p>
    <w:p w14:paraId="41C03452" w14:textId="77777777" w:rsidR="00D741A8" w:rsidRDefault="00D741A8" w:rsidP="00D741A8">
      <w:pPr>
        <w:spacing w:after="0" w:line="240" w:lineRule="auto"/>
        <w:rPr>
          <w:sz w:val="20"/>
          <w:szCs w:val="20"/>
        </w:rPr>
      </w:pPr>
      <w:r>
        <w:rPr>
          <w:sz w:val="20"/>
          <w:szCs w:val="20"/>
        </w:rPr>
        <w:t xml:space="preserve">Donald Riezebos </w:t>
      </w:r>
      <w:r>
        <w:rPr>
          <w:rFonts w:eastAsiaTheme="minorEastAsia" w:cs="Arial"/>
          <w:noProof/>
          <w:sz w:val="20"/>
          <w:szCs w:val="20"/>
          <w:lang w:eastAsia="en-NZ"/>
        </w:rPr>
        <w:t>|</w:t>
      </w:r>
      <w:r>
        <w:rPr>
          <w:sz w:val="20"/>
          <w:szCs w:val="20"/>
        </w:rPr>
        <w:t xml:space="preserve"> Local Government Commission </w:t>
      </w:r>
      <w:r>
        <w:rPr>
          <w:rFonts w:eastAsiaTheme="minorEastAsia" w:cs="Arial"/>
          <w:noProof/>
          <w:sz w:val="20"/>
          <w:szCs w:val="20"/>
          <w:lang w:eastAsia="en-NZ"/>
        </w:rPr>
        <w:t xml:space="preserve">| </w:t>
      </w:r>
      <w:r>
        <w:rPr>
          <w:sz w:val="20"/>
          <w:szCs w:val="20"/>
        </w:rPr>
        <w:t>DDI +64 4 460 2202</w:t>
      </w:r>
      <w:r>
        <w:rPr>
          <w:rFonts w:eastAsiaTheme="minorEastAsia" w:cs="Arial"/>
          <w:noProof/>
          <w:sz w:val="20"/>
          <w:szCs w:val="20"/>
          <w:lang w:eastAsia="en-NZ"/>
        </w:rPr>
        <w:t>|</w:t>
      </w:r>
      <w:r>
        <w:rPr>
          <w:sz w:val="20"/>
          <w:szCs w:val="20"/>
        </w:rPr>
        <w:t xml:space="preserve"> MOB 027 243 5658 </w:t>
      </w:r>
      <w:r>
        <w:rPr>
          <w:rFonts w:eastAsiaTheme="minorEastAsia" w:cs="Arial"/>
          <w:noProof/>
          <w:sz w:val="20"/>
          <w:szCs w:val="20"/>
          <w:lang w:eastAsia="en-NZ"/>
        </w:rPr>
        <w:t xml:space="preserve">| </w:t>
      </w:r>
      <w:r>
        <w:rPr>
          <w:sz w:val="20"/>
          <w:szCs w:val="20"/>
        </w:rPr>
        <w:t xml:space="preserve">donald.riezebos@lgc.govt.nz  </w:t>
      </w:r>
    </w:p>
    <w:p w14:paraId="41C03453" w14:textId="77777777" w:rsidR="00D741A8" w:rsidRDefault="00D741A8" w:rsidP="00D741A8">
      <w:pPr>
        <w:spacing w:after="0" w:line="240" w:lineRule="auto"/>
        <w:rPr>
          <w:sz w:val="20"/>
          <w:szCs w:val="20"/>
        </w:rPr>
      </w:pPr>
    </w:p>
    <w:p w14:paraId="41C03454" w14:textId="77777777" w:rsidR="00D741A8" w:rsidRDefault="00D741A8" w:rsidP="00D741A8">
      <w:pPr>
        <w:spacing w:after="0" w:line="240" w:lineRule="auto"/>
        <w:rPr>
          <w:sz w:val="20"/>
          <w:szCs w:val="20"/>
        </w:rPr>
      </w:pPr>
    </w:p>
    <w:p w14:paraId="41C03455" w14:textId="77777777" w:rsidR="00D741A8" w:rsidRPr="00131618" w:rsidRDefault="00D741A8" w:rsidP="00D741A8">
      <w:pPr>
        <w:spacing w:after="0" w:line="240" w:lineRule="auto"/>
        <w:rPr>
          <w:sz w:val="20"/>
          <w:szCs w:val="20"/>
        </w:rPr>
      </w:pPr>
    </w:p>
    <w:p w14:paraId="41C03456" w14:textId="77777777" w:rsidR="00D741A8" w:rsidRPr="00603635" w:rsidRDefault="00D741A8" w:rsidP="00D741A8"/>
    <w:p w14:paraId="41C03457" w14:textId="77777777" w:rsidR="00D741A8" w:rsidRPr="00603635" w:rsidRDefault="00D741A8" w:rsidP="00D741A8"/>
    <w:p w14:paraId="41C03458" w14:textId="77777777" w:rsidR="00AE478C" w:rsidRPr="00603635" w:rsidRDefault="00AE478C" w:rsidP="00603635"/>
    <w:sectPr w:rsidR="00AE478C" w:rsidRPr="00603635" w:rsidSect="00CF4BE3">
      <w:headerReference w:type="even" r:id="rId10"/>
      <w:headerReference w:type="default" r:id="rId11"/>
      <w:footerReference w:type="even" r:id="rId12"/>
      <w:footerReference w:type="default" r:id="rId13"/>
      <w:headerReference w:type="first" r:id="rId14"/>
      <w:footerReference w:type="first" r:id="rId15"/>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03460" w14:textId="77777777" w:rsidR="00D741A8" w:rsidRDefault="00D741A8">
      <w:r>
        <w:separator/>
      </w:r>
    </w:p>
    <w:p w14:paraId="41C03461" w14:textId="77777777" w:rsidR="00D741A8" w:rsidRDefault="00D741A8"/>
    <w:p w14:paraId="41C03462" w14:textId="77777777" w:rsidR="00D741A8" w:rsidRDefault="00D741A8"/>
  </w:endnote>
  <w:endnote w:type="continuationSeparator" w:id="0">
    <w:p w14:paraId="41C03463" w14:textId="77777777" w:rsidR="00D741A8" w:rsidRDefault="00D741A8">
      <w:r>
        <w:continuationSeparator/>
      </w:r>
    </w:p>
    <w:p w14:paraId="41C03464" w14:textId="77777777" w:rsidR="00D741A8" w:rsidRDefault="00D741A8"/>
    <w:p w14:paraId="41C03465" w14:textId="77777777" w:rsidR="00D741A8" w:rsidRDefault="00D741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03468" w14:textId="77777777" w:rsidR="00677F8A" w:rsidRDefault="00677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03469" w14:textId="77777777" w:rsidR="008504D0" w:rsidRDefault="008504D0"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603635">
      <w:rPr>
        <w:noProof/>
      </w:rPr>
      <w:t>1</w:t>
    </w:r>
    <w:r>
      <w:fldChar w:fldCharType="end"/>
    </w:r>
    <w:r>
      <w:t xml:space="preserve"> of </w:t>
    </w:r>
    <w:r w:rsidR="0013743E">
      <w:fldChar w:fldCharType="begin"/>
    </w:r>
    <w:r w:rsidR="0013743E">
      <w:instrText xml:space="preserve"> NUMPAGES   \* MERGEFORMAT </w:instrText>
    </w:r>
    <w:r w:rsidR="0013743E">
      <w:fldChar w:fldCharType="separate"/>
    </w:r>
    <w:r w:rsidR="00603635">
      <w:rPr>
        <w:noProof/>
      </w:rPr>
      <w:t>1</w:t>
    </w:r>
    <w:r w:rsidR="0013743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0346B" w14:textId="77777777" w:rsidR="00677F8A" w:rsidRDefault="00677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0345B" w14:textId="77777777" w:rsidR="00D741A8" w:rsidRDefault="00D741A8" w:rsidP="00FB1990">
      <w:pPr>
        <w:pStyle w:val="Spacer"/>
      </w:pPr>
      <w:r>
        <w:separator/>
      </w:r>
    </w:p>
    <w:p w14:paraId="41C0345C" w14:textId="77777777" w:rsidR="00D741A8" w:rsidRDefault="00D741A8" w:rsidP="00FB1990">
      <w:pPr>
        <w:pStyle w:val="Spacer"/>
      </w:pPr>
    </w:p>
  </w:footnote>
  <w:footnote w:type="continuationSeparator" w:id="0">
    <w:p w14:paraId="41C0345D" w14:textId="77777777" w:rsidR="00D741A8" w:rsidRDefault="00D741A8">
      <w:r>
        <w:continuationSeparator/>
      </w:r>
    </w:p>
    <w:p w14:paraId="41C0345E" w14:textId="77777777" w:rsidR="00D741A8" w:rsidRDefault="00D741A8"/>
    <w:p w14:paraId="41C0345F" w14:textId="77777777" w:rsidR="00D741A8" w:rsidRDefault="00D741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03466" w14:textId="77777777" w:rsidR="00677F8A" w:rsidRDefault="00677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03467" w14:textId="77777777" w:rsidR="00677F8A" w:rsidRPr="00591BDC" w:rsidRDefault="00677F8A" w:rsidP="00591B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0346A" w14:textId="77777777" w:rsidR="00677F8A" w:rsidRDefault="00677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9"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0"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1"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2"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3"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6"/>
  </w:num>
  <w:num w:numId="8">
    <w:abstractNumId w:val="17"/>
  </w:num>
  <w:num w:numId="9">
    <w:abstractNumId w:val="14"/>
  </w:num>
  <w:num w:numId="10">
    <w:abstractNumId w:val="10"/>
  </w:num>
  <w:num w:numId="11">
    <w:abstractNumId w:val="18"/>
  </w:num>
  <w:num w:numId="12">
    <w:abstractNumId w:val="20"/>
  </w:num>
  <w:num w:numId="13">
    <w:abstractNumId w:val="22"/>
  </w:num>
  <w:num w:numId="14">
    <w:abstractNumId w:val="7"/>
  </w:num>
  <w:num w:numId="15">
    <w:abstractNumId w:val="12"/>
  </w:num>
  <w:num w:numId="16">
    <w:abstractNumId w:val="23"/>
  </w:num>
  <w:num w:numId="17">
    <w:abstractNumId w:val="21"/>
  </w:num>
  <w:num w:numId="18">
    <w:abstractNumId w:val="19"/>
  </w:num>
  <w:num w:numId="19">
    <w:abstractNumId w:val="15"/>
  </w:num>
  <w:num w:numId="20">
    <w:abstractNumId w:val="13"/>
  </w:num>
  <w:num w:numId="21">
    <w:abstractNumId w:val="9"/>
  </w:num>
  <w:num w:numId="22">
    <w:abstractNumId w:val="6"/>
  </w:num>
  <w:num w:numId="23">
    <w:abstractNumId w:val="11"/>
  </w:num>
  <w:num w:numId="24">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4097"/>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1A8"/>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009E"/>
    <w:rsid w:val="00091C3A"/>
    <w:rsid w:val="000D61F6"/>
    <w:rsid w:val="000E3240"/>
    <w:rsid w:val="000E677B"/>
    <w:rsid w:val="000E7989"/>
    <w:rsid w:val="000F4ADF"/>
    <w:rsid w:val="000F61AF"/>
    <w:rsid w:val="0010171C"/>
    <w:rsid w:val="00102FAD"/>
    <w:rsid w:val="00121870"/>
    <w:rsid w:val="00126FDE"/>
    <w:rsid w:val="0013703F"/>
    <w:rsid w:val="0013743E"/>
    <w:rsid w:val="00140ED2"/>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7753"/>
    <w:rsid w:val="00660CE4"/>
    <w:rsid w:val="00662716"/>
    <w:rsid w:val="00665D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1A8"/>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1C0342B"/>
  <w15:chartTrackingRefBased/>
  <w15:docId w15:val="{3AE4B0CC-2D9E-439F-AAEA-439EA57C2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9"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1A8"/>
    <w:pPr>
      <w:spacing w:before="0" w:after="200" w:line="276" w:lineRule="auto"/>
    </w:pPr>
    <w:rPr>
      <w:rFonts w:asciiTheme="minorHAnsi" w:hAnsiTheme="minorHAnsi" w:cstheme="minorBidi"/>
      <w:sz w:val="22"/>
      <w:szCs w:val="22"/>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uiPriority w:val="9"/>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link w:val="DateChar"/>
    <w:uiPriority w:val="99"/>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uiPriority w:val="9"/>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rPr>
  </w:style>
  <w:style w:type="paragraph" w:customStyle="1" w:styleId="Legislationnumber">
    <w:name w:val="Legislation number"/>
    <w:basedOn w:val="Normal"/>
    <w:semiHidden/>
    <w:qFormat/>
    <w:rsid w:val="00054574"/>
    <w:pPr>
      <w:numPr>
        <w:ilvl w:val="1"/>
        <w:numId w:val="19"/>
      </w:numPr>
      <w:tabs>
        <w:tab w:val="left" w:pos="567"/>
      </w:tabs>
      <w:spacing w:before="60" w:after="60"/>
    </w:pPr>
  </w:style>
  <w:style w:type="paragraph" w:customStyle="1" w:styleId="Legislationa">
    <w:name w:val="Legislation (a)"/>
    <w:basedOn w:val="Normal"/>
    <w:semiHidden/>
    <w:qFormat/>
    <w:rsid w:val="00065F18"/>
    <w:pPr>
      <w:numPr>
        <w:ilvl w:val="2"/>
        <w:numId w:val="19"/>
      </w:numPr>
      <w:spacing w:before="60" w:after="60"/>
    </w:pPr>
  </w:style>
  <w:style w:type="paragraph" w:customStyle="1" w:styleId="Legislationi">
    <w:name w:val="Legislation (i)"/>
    <w:basedOn w:val="Normal"/>
    <w:semiHidden/>
    <w:qFormat/>
    <w:rsid w:val="00065F18"/>
    <w:pPr>
      <w:numPr>
        <w:ilvl w:val="3"/>
        <w:numId w:val="19"/>
      </w:numPr>
      <w:spacing w:before="60" w:after="60"/>
    </w:p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sz w:val="20"/>
    </w:rPr>
  </w:style>
  <w:style w:type="paragraph" w:customStyle="1" w:styleId="Documentationpagetableheading">
    <w:name w:val="Documentation page table heading"/>
    <w:basedOn w:val="Normal"/>
    <w:semiHidden/>
    <w:qFormat/>
    <w:rsid w:val="00065F18"/>
    <w:pPr>
      <w:spacing w:before="40" w:after="40"/>
    </w:pPr>
    <w:rPr>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character" w:customStyle="1" w:styleId="DateChar">
    <w:name w:val="Date Char"/>
    <w:basedOn w:val="DefaultParagraphFont"/>
    <w:link w:val="Date"/>
    <w:uiPriority w:val="99"/>
    <w:rsid w:val="00D741A8"/>
    <w:rPr>
      <w:lang w:eastAsia="en-US"/>
    </w:rPr>
  </w:style>
  <w:style w:type="paragraph" w:customStyle="1" w:styleId="Ends">
    <w:name w:val="Ends"/>
    <w:basedOn w:val="Normal"/>
    <w:qFormat/>
    <w:rsid w:val="00D741A8"/>
    <w:pPr>
      <w:spacing w:before="120" w:after="480" w:line="240" w:lineRule="auto"/>
    </w:pPr>
    <w:rPr>
      <w:rFonts w:ascii="Calibri" w:hAnsi="Calibri"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gc.govt.nz/"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E6C52-DF8D-4246-97BA-31E012199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301</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Beattie</dc:creator>
  <cp:keywords/>
  <dc:description/>
  <cp:lastModifiedBy>Gavin Beattie</cp:lastModifiedBy>
  <cp:revision>2</cp:revision>
  <cp:lastPrinted>2019-04-01T00:57:00Z</cp:lastPrinted>
  <dcterms:created xsi:type="dcterms:W3CDTF">2019-04-01T00:30:00Z</dcterms:created>
  <dcterms:modified xsi:type="dcterms:W3CDTF">2019-04-01T01:09:00Z</dcterms:modified>
</cp:coreProperties>
</file>