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IATable"/>
        <w:tblpPr w:leftFromText="180" w:rightFromText="180" w:vertAnchor="page" w:horzAnchor="margin" w:tblpXSpec="center" w:tblpY="146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533"/>
      </w:tblGrid>
      <w:tr w:rsidR="00BE3E5C" w14:paraId="261214BF" w14:textId="77777777" w:rsidTr="00243724">
        <w:trPr>
          <w:cnfStyle w:val="100000000000" w:firstRow="1" w:lastRow="0" w:firstColumn="0" w:lastColumn="0" w:oddVBand="0" w:evenVBand="0" w:oddHBand="0" w:evenHBand="0" w:firstRowFirstColumn="0" w:firstRowLastColumn="0" w:lastRowFirstColumn="0" w:lastRowLastColumn="0"/>
          <w:trHeight w:val="1206"/>
        </w:trPr>
        <w:tc>
          <w:tcPr>
            <w:tcW w:w="1696" w:type="dxa"/>
            <w:tcBorders>
              <w:top w:val="nil"/>
              <w:left w:val="nil"/>
              <w:right w:val="single" w:sz="4" w:space="0" w:color="auto"/>
            </w:tcBorders>
            <w:shd w:val="clear" w:color="auto" w:fill="auto"/>
            <w:hideMark/>
          </w:tcPr>
          <w:p w14:paraId="41554D27" w14:textId="77777777" w:rsidR="00BE3E5C" w:rsidRDefault="00BE3E5C" w:rsidP="00243724">
            <w:pPr>
              <w:keepLines/>
              <w:spacing w:before="60" w:after="32" w:line="280" w:lineRule="atLeast"/>
              <w:jc w:val="center"/>
              <w:rPr>
                <w:rFonts w:ascii="Times New Roman" w:eastAsia="Times New Roman" w:hAnsi="Times New Roman" w:cs="Times New Roman"/>
                <w:b w:val="0"/>
                <w:sz w:val="24"/>
                <w:szCs w:val="24"/>
              </w:rPr>
            </w:pPr>
            <w:r>
              <w:rPr>
                <w:rFonts w:ascii="Times New Roman" w:hAnsi="Times New Roman"/>
                <w:noProof/>
                <w:lang w:val="en-NZ" w:eastAsia="en-NZ"/>
              </w:rPr>
              <w:drawing>
                <wp:inline distT="0" distB="0" distL="0" distR="0" wp14:anchorId="6C612812" wp14:editId="664B3A71">
                  <wp:extent cx="892175" cy="723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723900"/>
                          </a:xfrm>
                          <a:prstGeom prst="rect">
                            <a:avLst/>
                          </a:prstGeom>
                          <a:noFill/>
                          <a:ln>
                            <a:noFill/>
                          </a:ln>
                        </pic:spPr>
                      </pic:pic>
                    </a:graphicData>
                  </a:graphic>
                </wp:inline>
              </w:drawing>
            </w:r>
          </w:p>
        </w:tc>
        <w:tc>
          <w:tcPr>
            <w:tcW w:w="3533" w:type="dxa"/>
            <w:tcBorders>
              <w:top w:val="nil"/>
              <w:left w:val="single" w:sz="4" w:space="0" w:color="auto"/>
              <w:right w:val="nil"/>
            </w:tcBorders>
            <w:shd w:val="clear" w:color="auto" w:fill="auto"/>
            <w:vAlign w:val="center"/>
            <w:hideMark/>
          </w:tcPr>
          <w:p w14:paraId="007DAE3C" w14:textId="77777777" w:rsidR="00BE3E5C" w:rsidRPr="004B6B4A" w:rsidRDefault="00BE3E5C" w:rsidP="00243724">
            <w:pPr>
              <w:pStyle w:val="Heading1"/>
              <w:spacing w:before="0"/>
              <w:outlineLvl w:val="0"/>
              <w:rPr>
                <w:rFonts w:ascii="Times New Roman" w:hAnsi="Times New Roman" w:cs="Times New Roman"/>
                <w:b/>
                <w:color w:val="auto"/>
                <w:sz w:val="24"/>
                <w:szCs w:val="24"/>
              </w:rPr>
            </w:pPr>
            <w:r w:rsidRPr="004B6B4A">
              <w:rPr>
                <w:rFonts w:ascii="Times New Roman" w:hAnsi="Times New Roman" w:cs="Times New Roman"/>
                <w:b/>
                <w:color w:val="auto"/>
                <w:sz w:val="24"/>
                <w:szCs w:val="24"/>
              </w:rPr>
              <w:t>Local Government Commission</w:t>
            </w:r>
          </w:p>
          <w:p w14:paraId="7091D7D6" w14:textId="77777777" w:rsidR="00BE3E5C" w:rsidRPr="00D40DCE" w:rsidRDefault="00BE3E5C" w:rsidP="00243724">
            <w:pPr>
              <w:pStyle w:val="Title"/>
              <w:jc w:val="left"/>
              <w:rPr>
                <w:rFonts w:ascii="Times New Roman" w:hAnsi="Times New Roman"/>
                <w:b/>
                <w:color w:val="auto"/>
                <w:sz w:val="22"/>
                <w:szCs w:val="22"/>
              </w:rPr>
            </w:pPr>
            <w:r w:rsidRPr="004B6B4A">
              <w:rPr>
                <w:rFonts w:ascii="Times New Roman" w:hAnsi="Times New Roman"/>
                <w:b/>
                <w:color w:val="auto"/>
                <w:sz w:val="24"/>
                <w:szCs w:val="24"/>
              </w:rPr>
              <w:t xml:space="preserve">Mana </w:t>
            </w:r>
            <w:proofErr w:type="spellStart"/>
            <w:r w:rsidRPr="004B6B4A">
              <w:rPr>
                <w:rFonts w:ascii="Times New Roman" w:hAnsi="Times New Roman"/>
                <w:b/>
                <w:color w:val="auto"/>
                <w:sz w:val="24"/>
                <w:szCs w:val="24"/>
              </w:rPr>
              <w:t>Kāwanatanga</w:t>
            </w:r>
            <w:proofErr w:type="spellEnd"/>
            <w:r w:rsidRPr="004B6B4A">
              <w:rPr>
                <w:rFonts w:ascii="Times New Roman" w:hAnsi="Times New Roman"/>
                <w:b/>
                <w:color w:val="auto"/>
                <w:sz w:val="24"/>
                <w:szCs w:val="24"/>
              </w:rPr>
              <w:t xml:space="preserve"> ā </w:t>
            </w:r>
            <w:proofErr w:type="spellStart"/>
            <w:r w:rsidRPr="004B6B4A">
              <w:rPr>
                <w:rFonts w:ascii="Times New Roman" w:hAnsi="Times New Roman"/>
                <w:b/>
                <w:color w:val="auto"/>
                <w:sz w:val="24"/>
                <w:szCs w:val="24"/>
              </w:rPr>
              <w:t>Rohe</w:t>
            </w:r>
            <w:proofErr w:type="spellEnd"/>
          </w:p>
        </w:tc>
      </w:tr>
    </w:tbl>
    <w:p w14:paraId="1EB2A6E6" w14:textId="77777777" w:rsidR="00BE3E5C" w:rsidRDefault="00BE3E5C" w:rsidP="00BE3E5C"/>
    <w:p w14:paraId="46B99248" w14:textId="77777777" w:rsidR="00BE3E5C" w:rsidRDefault="00BE3E5C" w:rsidP="00BE3E5C"/>
    <w:p w14:paraId="582DADFE" w14:textId="77777777" w:rsidR="00BE3E5C" w:rsidRDefault="00BE3E5C" w:rsidP="00BE3E5C">
      <w:pPr>
        <w:jc w:val="center"/>
        <w:rPr>
          <w:b/>
          <w:sz w:val="24"/>
          <w:szCs w:val="24"/>
        </w:rPr>
      </w:pPr>
    </w:p>
    <w:p w14:paraId="6B78E14E" w14:textId="77777777" w:rsidR="00BE3E5C" w:rsidRDefault="00BE3E5C" w:rsidP="00BE3E5C">
      <w:pPr>
        <w:jc w:val="center"/>
        <w:rPr>
          <w:b/>
          <w:sz w:val="28"/>
          <w:szCs w:val="28"/>
        </w:rPr>
      </w:pPr>
    </w:p>
    <w:p w14:paraId="17686D17" w14:textId="77777777" w:rsidR="00BE3E5C" w:rsidRPr="00FD6D63" w:rsidRDefault="00BE3E5C" w:rsidP="00BE3E5C">
      <w:pPr>
        <w:jc w:val="center"/>
        <w:rPr>
          <w:b/>
          <w:sz w:val="28"/>
          <w:szCs w:val="28"/>
        </w:rPr>
      </w:pPr>
      <w:r w:rsidRPr="00FD6D63">
        <w:rPr>
          <w:b/>
          <w:sz w:val="28"/>
          <w:szCs w:val="28"/>
        </w:rPr>
        <w:t>Determination</w:t>
      </w:r>
    </w:p>
    <w:p w14:paraId="1C2DD9A8" w14:textId="77777777" w:rsidR="00BE3E5C" w:rsidRDefault="00BE3E5C" w:rsidP="00BE3E5C">
      <w:pPr>
        <w:jc w:val="center"/>
        <w:rPr>
          <w:sz w:val="24"/>
          <w:szCs w:val="24"/>
        </w:rPr>
      </w:pPr>
      <w:r>
        <w:rPr>
          <w:sz w:val="24"/>
          <w:szCs w:val="24"/>
        </w:rPr>
        <w:t>of representation arrangements to apply for</w:t>
      </w:r>
      <w:r>
        <w:rPr>
          <w:sz w:val="24"/>
          <w:szCs w:val="24"/>
        </w:rPr>
        <w:br/>
        <w:t xml:space="preserve">the election of the </w:t>
      </w:r>
      <w:r w:rsidR="00DD6471">
        <w:rPr>
          <w:sz w:val="24"/>
          <w:szCs w:val="24"/>
        </w:rPr>
        <w:t>Manawatu-Wanganui</w:t>
      </w:r>
      <w:r>
        <w:rPr>
          <w:sz w:val="24"/>
          <w:szCs w:val="24"/>
        </w:rPr>
        <w:t xml:space="preserve"> Regional Council</w:t>
      </w:r>
      <w:r>
        <w:rPr>
          <w:sz w:val="24"/>
          <w:szCs w:val="24"/>
        </w:rPr>
        <w:br/>
        <w:t>to be held on 12 October 2019</w:t>
      </w:r>
    </w:p>
    <w:p w14:paraId="2603D4C1" w14:textId="77777777" w:rsidR="00BE3E5C" w:rsidRDefault="00BE3E5C" w:rsidP="00BE3E5C">
      <w:pPr>
        <w:jc w:val="center"/>
        <w:rPr>
          <w:sz w:val="24"/>
          <w:szCs w:val="24"/>
        </w:rPr>
      </w:pPr>
    </w:p>
    <w:p w14:paraId="7C05B7F7" w14:textId="77777777" w:rsidR="00BE3E5C" w:rsidRPr="00005CC6" w:rsidRDefault="00BE3E5C" w:rsidP="00BE3E5C">
      <w:pPr>
        <w:rPr>
          <w:b/>
          <w:sz w:val="28"/>
          <w:szCs w:val="28"/>
        </w:rPr>
      </w:pPr>
      <w:r w:rsidRPr="00005CC6">
        <w:rPr>
          <w:b/>
          <w:sz w:val="28"/>
          <w:szCs w:val="28"/>
        </w:rPr>
        <w:t>Background</w:t>
      </w:r>
    </w:p>
    <w:p w14:paraId="026F865B" w14:textId="77777777" w:rsidR="00BE3E5C" w:rsidRPr="004B6B4A" w:rsidRDefault="00BE3E5C" w:rsidP="00BE3E5C">
      <w:pPr>
        <w:pStyle w:val="ListParagraph"/>
        <w:keepLines/>
        <w:numPr>
          <w:ilvl w:val="0"/>
          <w:numId w:val="25"/>
        </w:numPr>
        <w:spacing w:after="120" w:line="240" w:lineRule="auto"/>
        <w:ind w:hanging="720"/>
        <w:rPr>
          <w:sz w:val="24"/>
          <w:szCs w:val="24"/>
        </w:rPr>
      </w:pPr>
      <w:r w:rsidRPr="004B6B4A">
        <w:rPr>
          <w:sz w:val="24"/>
          <w:szCs w:val="24"/>
        </w:rPr>
        <w:t xml:space="preserve">All regional councils are required by section 19I of the Local Electoral Act 2001 (the Act) to review their representation arrangements at least every six years. These reviews are to determine the number of constituencies, the name and boundaries of those constituencies and the number of </w:t>
      </w:r>
      <w:proofErr w:type="spellStart"/>
      <w:r w:rsidRPr="004B6B4A">
        <w:rPr>
          <w:sz w:val="24"/>
          <w:szCs w:val="24"/>
        </w:rPr>
        <w:t>councillors</w:t>
      </w:r>
      <w:proofErr w:type="spellEnd"/>
      <w:r w:rsidRPr="004B6B4A">
        <w:rPr>
          <w:sz w:val="24"/>
          <w:szCs w:val="24"/>
        </w:rPr>
        <w:t xml:space="preserve"> to be elected by each constituency.</w:t>
      </w:r>
    </w:p>
    <w:p w14:paraId="0B81FBD9" w14:textId="77777777" w:rsidR="00BE3E5C" w:rsidRPr="004B6B4A" w:rsidRDefault="00BE3E5C" w:rsidP="00BE3E5C">
      <w:pPr>
        <w:pStyle w:val="ListParagraph"/>
        <w:keepLines/>
        <w:numPr>
          <w:ilvl w:val="0"/>
          <w:numId w:val="25"/>
        </w:numPr>
        <w:spacing w:after="120" w:line="240" w:lineRule="auto"/>
        <w:ind w:hanging="720"/>
        <w:rPr>
          <w:sz w:val="24"/>
          <w:szCs w:val="24"/>
        </w:rPr>
      </w:pPr>
      <w:r w:rsidRPr="004B6B4A">
        <w:rPr>
          <w:sz w:val="24"/>
          <w:szCs w:val="24"/>
        </w:rPr>
        <w:t xml:space="preserve">The </w:t>
      </w:r>
      <w:r w:rsidR="00DD6471">
        <w:rPr>
          <w:sz w:val="24"/>
          <w:szCs w:val="24"/>
        </w:rPr>
        <w:t>Manawatu-</w:t>
      </w:r>
      <w:r w:rsidRPr="004B6B4A">
        <w:rPr>
          <w:sz w:val="24"/>
          <w:szCs w:val="24"/>
        </w:rPr>
        <w:t>W</w:t>
      </w:r>
      <w:r w:rsidR="00DD6471">
        <w:rPr>
          <w:sz w:val="24"/>
          <w:szCs w:val="24"/>
        </w:rPr>
        <w:t>anganui</w:t>
      </w:r>
      <w:r w:rsidRPr="004B6B4A">
        <w:rPr>
          <w:sz w:val="24"/>
          <w:szCs w:val="24"/>
        </w:rPr>
        <w:t xml:space="preserve"> Regional Council, branded </w:t>
      </w:r>
      <w:r w:rsidR="00DD6471">
        <w:rPr>
          <w:sz w:val="24"/>
          <w:szCs w:val="24"/>
        </w:rPr>
        <w:t>Horizons</w:t>
      </w:r>
      <w:r w:rsidRPr="004B6B4A">
        <w:rPr>
          <w:sz w:val="24"/>
          <w:szCs w:val="24"/>
        </w:rPr>
        <w:t xml:space="preserve"> Regional Council, (the council) last reviewed its representation arrangements prior to the 2013 local authority elections. Accordingly, it was required to undertake a review prior to the next elections in October 2019.</w:t>
      </w:r>
    </w:p>
    <w:p w14:paraId="14A75C73" w14:textId="0CABF3A5" w:rsidR="00BE3E5C" w:rsidRPr="004B6B4A" w:rsidRDefault="00DD6471" w:rsidP="00BE3E5C">
      <w:pPr>
        <w:pStyle w:val="ListParagraph"/>
        <w:keepLines/>
        <w:numPr>
          <w:ilvl w:val="0"/>
          <w:numId w:val="25"/>
        </w:numPr>
        <w:spacing w:before="120" w:after="120" w:line="240" w:lineRule="auto"/>
        <w:ind w:hanging="720"/>
        <w:rPr>
          <w:sz w:val="24"/>
          <w:szCs w:val="24"/>
        </w:rPr>
      </w:pPr>
      <w:r>
        <w:rPr>
          <w:sz w:val="24"/>
          <w:szCs w:val="24"/>
        </w:rPr>
        <w:t xml:space="preserve">There were no </w:t>
      </w:r>
      <w:r w:rsidR="00BE3E5C" w:rsidRPr="004B6B4A">
        <w:rPr>
          <w:sz w:val="24"/>
          <w:szCs w:val="24"/>
        </w:rPr>
        <w:t>appeals/objections on its last review</w:t>
      </w:r>
      <w:r>
        <w:rPr>
          <w:sz w:val="24"/>
          <w:szCs w:val="24"/>
        </w:rPr>
        <w:t>. However</w:t>
      </w:r>
      <w:r w:rsidR="00BE3E5C" w:rsidRPr="004B6B4A">
        <w:rPr>
          <w:sz w:val="24"/>
          <w:szCs w:val="24"/>
        </w:rPr>
        <w:t xml:space="preserve">, </w:t>
      </w:r>
      <w:proofErr w:type="gramStart"/>
      <w:r>
        <w:rPr>
          <w:sz w:val="24"/>
          <w:szCs w:val="24"/>
        </w:rPr>
        <w:t>as a result of</w:t>
      </w:r>
      <w:proofErr w:type="gramEnd"/>
      <w:r>
        <w:rPr>
          <w:sz w:val="24"/>
          <w:szCs w:val="24"/>
        </w:rPr>
        <w:t xml:space="preserve"> two constituencies not complying with statutory fair </w:t>
      </w:r>
      <w:r w:rsidR="00BE3E5C" w:rsidRPr="004B6B4A">
        <w:rPr>
          <w:sz w:val="24"/>
          <w:szCs w:val="24"/>
        </w:rPr>
        <w:t xml:space="preserve">representation </w:t>
      </w:r>
      <w:r>
        <w:rPr>
          <w:sz w:val="24"/>
          <w:szCs w:val="24"/>
        </w:rPr>
        <w:t xml:space="preserve">requirements, the Commission determined representation </w:t>
      </w:r>
      <w:r w:rsidR="00BE3E5C" w:rsidRPr="004B6B4A">
        <w:rPr>
          <w:sz w:val="24"/>
          <w:szCs w:val="24"/>
        </w:rPr>
        <w:t xml:space="preserve">arrangements </w:t>
      </w:r>
      <w:r>
        <w:rPr>
          <w:sz w:val="24"/>
          <w:szCs w:val="24"/>
        </w:rPr>
        <w:t xml:space="preserve">for the council </w:t>
      </w:r>
      <w:r w:rsidR="00BE3E5C" w:rsidRPr="004B6B4A">
        <w:rPr>
          <w:sz w:val="24"/>
          <w:szCs w:val="24"/>
        </w:rPr>
        <w:t>that applied for the 2013 and subsequent 2016 elections</w:t>
      </w:r>
      <w:r w:rsidR="00654145">
        <w:rPr>
          <w:sz w:val="24"/>
          <w:szCs w:val="24"/>
        </w:rPr>
        <w:t>. These arrangement</w:t>
      </w:r>
      <w:r w:rsidR="000B7977">
        <w:rPr>
          <w:sz w:val="24"/>
          <w:szCs w:val="24"/>
        </w:rPr>
        <w:t>s</w:t>
      </w:r>
      <w:r w:rsidR="00BE3E5C" w:rsidRPr="004B6B4A">
        <w:rPr>
          <w:sz w:val="24"/>
          <w:szCs w:val="24"/>
        </w:rPr>
        <w:t xml:space="preserve"> were for t</w:t>
      </w:r>
      <w:r w:rsidR="00654145">
        <w:rPr>
          <w:sz w:val="24"/>
          <w:szCs w:val="24"/>
        </w:rPr>
        <w:t xml:space="preserve">welve </w:t>
      </w:r>
      <w:proofErr w:type="spellStart"/>
      <w:r w:rsidR="00BE3E5C" w:rsidRPr="004B6B4A">
        <w:rPr>
          <w:sz w:val="24"/>
          <w:szCs w:val="24"/>
        </w:rPr>
        <w:t>councillors</w:t>
      </w:r>
      <w:proofErr w:type="spellEnd"/>
      <w:r w:rsidR="00BE3E5C" w:rsidRPr="004B6B4A">
        <w:rPr>
          <w:sz w:val="24"/>
          <w:szCs w:val="24"/>
        </w:rPr>
        <w:t xml:space="preserve"> elected </w:t>
      </w:r>
      <w:r w:rsidR="00654145">
        <w:rPr>
          <w:sz w:val="24"/>
          <w:szCs w:val="24"/>
        </w:rPr>
        <w:t xml:space="preserve">from six constituencies </w:t>
      </w:r>
      <w:r w:rsidR="00BE3E5C" w:rsidRPr="004B6B4A">
        <w:rPr>
          <w:sz w:val="24"/>
          <w:szCs w:val="24"/>
        </w:rPr>
        <w:t>as follows.</w:t>
      </w:r>
    </w:p>
    <w:tbl>
      <w:tblPr>
        <w:tblStyle w:val="DIATable"/>
        <w:tblW w:w="0" w:type="auto"/>
        <w:jc w:val="center"/>
        <w:tblInd w:w="0" w:type="dxa"/>
        <w:tblLook w:val="04A0" w:firstRow="1" w:lastRow="0" w:firstColumn="1" w:lastColumn="0" w:noHBand="0" w:noVBand="1"/>
      </w:tblPr>
      <w:tblGrid>
        <w:gridCol w:w="1433"/>
        <w:gridCol w:w="1227"/>
        <w:gridCol w:w="1560"/>
        <w:gridCol w:w="1275"/>
        <w:gridCol w:w="1560"/>
        <w:gridCol w:w="1665"/>
      </w:tblGrid>
      <w:tr w:rsidR="00BE3E5C" w:rsidRPr="004A03D2" w14:paraId="7609217B" w14:textId="77777777" w:rsidTr="00243724">
        <w:trPr>
          <w:cnfStyle w:val="100000000000" w:firstRow="1" w:lastRow="0" w:firstColumn="0" w:lastColumn="0" w:oddVBand="0" w:evenVBand="0" w:oddHBand="0" w:evenHBand="0" w:firstRowFirstColumn="0" w:firstRowLastColumn="0" w:lastRowFirstColumn="0" w:lastRowLastColumn="0"/>
          <w:jc w:val="center"/>
        </w:trPr>
        <w:tc>
          <w:tcPr>
            <w:tcW w:w="1433" w:type="dxa"/>
          </w:tcPr>
          <w:p w14:paraId="73925D1D" w14:textId="77777777" w:rsidR="00BE3E5C" w:rsidRPr="004A03D2" w:rsidRDefault="00BE3E5C" w:rsidP="00243724">
            <w:pPr>
              <w:pStyle w:val="Header"/>
              <w:jc w:val="center"/>
              <w:rPr>
                <w:rFonts w:cstheme="minorHAnsi"/>
                <w:color w:val="FFFFFF" w:themeColor="background1"/>
                <w:sz w:val="24"/>
              </w:rPr>
            </w:pPr>
            <w:r>
              <w:rPr>
                <w:rFonts w:cstheme="minorHAnsi"/>
                <w:color w:val="FFFFFF" w:themeColor="background1"/>
                <w:sz w:val="20"/>
              </w:rPr>
              <w:t>C</w:t>
            </w:r>
            <w:r w:rsidRPr="004A03D2">
              <w:rPr>
                <w:rFonts w:cstheme="minorHAnsi"/>
                <w:color w:val="FFFFFF" w:themeColor="background1"/>
                <w:sz w:val="20"/>
              </w:rPr>
              <w:t>onstituencies</w:t>
            </w:r>
          </w:p>
        </w:tc>
        <w:tc>
          <w:tcPr>
            <w:tcW w:w="1227" w:type="dxa"/>
          </w:tcPr>
          <w:p w14:paraId="510B1F14" w14:textId="77777777" w:rsidR="00BE3E5C" w:rsidRPr="004A03D2" w:rsidRDefault="00BE3E5C" w:rsidP="00243724">
            <w:pPr>
              <w:pStyle w:val="Header"/>
              <w:jc w:val="center"/>
              <w:rPr>
                <w:rFonts w:cstheme="minorHAnsi"/>
                <w:color w:val="FFFFFF" w:themeColor="background1"/>
                <w:sz w:val="24"/>
              </w:rPr>
            </w:pPr>
            <w:r w:rsidRPr="004A03D2">
              <w:rPr>
                <w:rFonts w:cstheme="minorHAnsi"/>
                <w:color w:val="FFFFFF" w:themeColor="background1"/>
                <w:sz w:val="20"/>
              </w:rPr>
              <w:t>Population*</w:t>
            </w:r>
          </w:p>
        </w:tc>
        <w:tc>
          <w:tcPr>
            <w:tcW w:w="1560" w:type="dxa"/>
          </w:tcPr>
          <w:p w14:paraId="32B415F6" w14:textId="77777777" w:rsidR="00BE3E5C" w:rsidRPr="004A03D2" w:rsidRDefault="00BE3E5C" w:rsidP="00243724">
            <w:pPr>
              <w:pStyle w:val="Header"/>
              <w:jc w:val="center"/>
              <w:rPr>
                <w:rFonts w:cstheme="minorHAnsi"/>
                <w:color w:val="FFFFFF" w:themeColor="background1"/>
                <w:sz w:val="24"/>
              </w:rPr>
            </w:pPr>
            <w:r w:rsidRPr="004A03D2">
              <w:rPr>
                <w:rFonts w:cstheme="minorHAnsi"/>
                <w:color w:val="FFFFFF" w:themeColor="background1"/>
                <w:sz w:val="20"/>
              </w:rPr>
              <w:t xml:space="preserve">Number of </w:t>
            </w:r>
            <w:proofErr w:type="spellStart"/>
            <w:r w:rsidRPr="004A03D2">
              <w:rPr>
                <w:rFonts w:cstheme="minorHAnsi"/>
                <w:color w:val="FFFFFF" w:themeColor="background1"/>
                <w:sz w:val="20"/>
              </w:rPr>
              <w:t>councillors</w:t>
            </w:r>
            <w:proofErr w:type="spellEnd"/>
            <w:r w:rsidRPr="004A03D2">
              <w:rPr>
                <w:rFonts w:cstheme="minorHAnsi"/>
                <w:color w:val="FFFFFF" w:themeColor="background1"/>
                <w:sz w:val="20"/>
              </w:rPr>
              <w:t xml:space="preserve"> per constituency</w:t>
            </w:r>
          </w:p>
        </w:tc>
        <w:tc>
          <w:tcPr>
            <w:tcW w:w="1275" w:type="dxa"/>
          </w:tcPr>
          <w:p w14:paraId="41BB5416" w14:textId="77777777" w:rsidR="00BE3E5C" w:rsidRPr="004A03D2" w:rsidRDefault="00BE3E5C" w:rsidP="00243724">
            <w:pPr>
              <w:pStyle w:val="Header"/>
              <w:jc w:val="center"/>
              <w:rPr>
                <w:rFonts w:cstheme="minorHAnsi"/>
                <w:color w:val="FFFFFF" w:themeColor="background1"/>
                <w:sz w:val="24"/>
              </w:rPr>
            </w:pPr>
            <w:r w:rsidRPr="004A03D2">
              <w:rPr>
                <w:rFonts w:cstheme="minorHAnsi"/>
                <w:color w:val="FFFFFF" w:themeColor="background1"/>
                <w:sz w:val="20"/>
              </w:rPr>
              <w:t xml:space="preserve">Population per </w:t>
            </w:r>
            <w:proofErr w:type="spellStart"/>
            <w:r w:rsidRPr="004A03D2">
              <w:rPr>
                <w:rFonts w:cstheme="minorHAnsi"/>
                <w:color w:val="FFFFFF" w:themeColor="background1"/>
                <w:sz w:val="20"/>
              </w:rPr>
              <w:t>councillor</w:t>
            </w:r>
            <w:proofErr w:type="spellEnd"/>
          </w:p>
        </w:tc>
        <w:tc>
          <w:tcPr>
            <w:tcW w:w="1560" w:type="dxa"/>
          </w:tcPr>
          <w:p w14:paraId="4A95A20A" w14:textId="77777777" w:rsidR="00BE3E5C" w:rsidRPr="004A03D2" w:rsidRDefault="00BE3E5C" w:rsidP="00243724">
            <w:pPr>
              <w:pStyle w:val="Header"/>
              <w:jc w:val="center"/>
              <w:rPr>
                <w:rFonts w:cstheme="minorHAnsi"/>
                <w:color w:val="FFFFFF" w:themeColor="background1"/>
                <w:sz w:val="24"/>
              </w:rPr>
            </w:pPr>
            <w:r w:rsidRPr="004A03D2">
              <w:rPr>
                <w:rFonts w:cstheme="minorHAnsi"/>
                <w:color w:val="FFFFFF" w:themeColor="background1"/>
                <w:sz w:val="20"/>
              </w:rPr>
              <w:t xml:space="preserve">Deviation from region average population per </w:t>
            </w:r>
            <w:proofErr w:type="spellStart"/>
            <w:r w:rsidRPr="004A03D2">
              <w:rPr>
                <w:rFonts w:cstheme="minorHAnsi"/>
                <w:color w:val="FFFFFF" w:themeColor="background1"/>
                <w:sz w:val="20"/>
              </w:rPr>
              <w:t>councillor</w:t>
            </w:r>
            <w:proofErr w:type="spellEnd"/>
          </w:p>
        </w:tc>
        <w:tc>
          <w:tcPr>
            <w:tcW w:w="1665" w:type="dxa"/>
          </w:tcPr>
          <w:p w14:paraId="69762F80" w14:textId="77777777" w:rsidR="00BE3E5C" w:rsidRPr="004A03D2" w:rsidRDefault="00BE3E5C" w:rsidP="00243724">
            <w:pPr>
              <w:pStyle w:val="Header"/>
              <w:jc w:val="center"/>
              <w:rPr>
                <w:rFonts w:cstheme="minorHAnsi"/>
                <w:color w:val="FFFFFF" w:themeColor="background1"/>
                <w:sz w:val="24"/>
              </w:rPr>
            </w:pPr>
            <w:r w:rsidRPr="004A03D2">
              <w:rPr>
                <w:rFonts w:cstheme="minorHAnsi"/>
                <w:color w:val="FFFFFF" w:themeColor="background1"/>
                <w:sz w:val="20"/>
              </w:rPr>
              <w:t xml:space="preserve">% deviation from region </w:t>
            </w:r>
            <w:r>
              <w:rPr>
                <w:rFonts w:cstheme="minorHAnsi"/>
                <w:color w:val="FFFFFF" w:themeColor="background1"/>
                <w:sz w:val="20"/>
              </w:rPr>
              <w:t xml:space="preserve">average </w:t>
            </w:r>
            <w:r w:rsidRPr="004A03D2">
              <w:rPr>
                <w:rFonts w:cstheme="minorHAnsi"/>
                <w:color w:val="FFFFFF" w:themeColor="background1"/>
                <w:sz w:val="20"/>
              </w:rPr>
              <w:t xml:space="preserve">population per </w:t>
            </w:r>
            <w:proofErr w:type="spellStart"/>
            <w:r w:rsidRPr="004A03D2">
              <w:rPr>
                <w:rFonts w:cstheme="minorHAnsi"/>
                <w:color w:val="FFFFFF" w:themeColor="background1"/>
                <w:sz w:val="20"/>
              </w:rPr>
              <w:t>councillor</w:t>
            </w:r>
            <w:proofErr w:type="spellEnd"/>
          </w:p>
        </w:tc>
      </w:tr>
      <w:tr w:rsidR="00BE3E5C" w:rsidRPr="004A03D2" w14:paraId="6BEB1220" w14:textId="77777777" w:rsidTr="00243724">
        <w:trPr>
          <w:jc w:val="center"/>
        </w:trPr>
        <w:tc>
          <w:tcPr>
            <w:tcW w:w="1433" w:type="dxa"/>
          </w:tcPr>
          <w:p w14:paraId="57565FAC" w14:textId="77777777" w:rsidR="00BE3E5C" w:rsidRPr="004A03D2" w:rsidRDefault="00DD6471" w:rsidP="00243724">
            <w:pPr>
              <w:pStyle w:val="Header"/>
              <w:rPr>
                <w:rFonts w:cstheme="minorHAnsi"/>
                <w:b/>
                <w:color w:val="FFFFFF" w:themeColor="background1"/>
                <w:sz w:val="20"/>
              </w:rPr>
            </w:pPr>
            <w:r>
              <w:rPr>
                <w:rFonts w:cstheme="minorHAnsi"/>
                <w:color w:val="000000" w:themeColor="text1"/>
                <w:sz w:val="20"/>
              </w:rPr>
              <w:t>Ruapehu</w:t>
            </w:r>
          </w:p>
        </w:tc>
        <w:tc>
          <w:tcPr>
            <w:tcW w:w="1227" w:type="dxa"/>
          </w:tcPr>
          <w:p w14:paraId="27A12A38" w14:textId="77777777" w:rsidR="00BE3E5C" w:rsidRPr="004A03D2" w:rsidRDefault="00DD6471" w:rsidP="00243724">
            <w:pPr>
              <w:pStyle w:val="Header"/>
              <w:jc w:val="center"/>
              <w:rPr>
                <w:rFonts w:cstheme="minorHAnsi"/>
                <w:color w:val="000000" w:themeColor="text1"/>
                <w:sz w:val="20"/>
              </w:rPr>
            </w:pPr>
            <w:r>
              <w:rPr>
                <w:rFonts w:cstheme="minorHAnsi"/>
                <w:color w:val="000000" w:themeColor="text1"/>
                <w:sz w:val="20"/>
              </w:rPr>
              <w:t>13,650</w:t>
            </w:r>
          </w:p>
        </w:tc>
        <w:tc>
          <w:tcPr>
            <w:tcW w:w="1560" w:type="dxa"/>
          </w:tcPr>
          <w:p w14:paraId="6CDD6CEC" w14:textId="77777777" w:rsidR="00BE3E5C" w:rsidRPr="004A03D2" w:rsidRDefault="00BE3E5C" w:rsidP="00243724">
            <w:pPr>
              <w:pStyle w:val="Header"/>
              <w:jc w:val="center"/>
              <w:rPr>
                <w:rFonts w:cstheme="minorHAnsi"/>
                <w:color w:val="000000" w:themeColor="text1"/>
                <w:sz w:val="20"/>
              </w:rPr>
            </w:pPr>
            <w:r>
              <w:rPr>
                <w:rFonts w:cstheme="minorHAnsi"/>
                <w:color w:val="000000" w:themeColor="text1"/>
                <w:sz w:val="20"/>
              </w:rPr>
              <w:t>1</w:t>
            </w:r>
          </w:p>
        </w:tc>
        <w:tc>
          <w:tcPr>
            <w:tcW w:w="1275" w:type="dxa"/>
          </w:tcPr>
          <w:p w14:paraId="05A89DFD" w14:textId="77777777" w:rsidR="00BE3E5C" w:rsidRPr="004A03D2" w:rsidRDefault="00DD6471" w:rsidP="00243724">
            <w:pPr>
              <w:pStyle w:val="Header"/>
              <w:jc w:val="center"/>
              <w:rPr>
                <w:rFonts w:cstheme="minorHAnsi"/>
                <w:color w:val="000000" w:themeColor="text1"/>
                <w:sz w:val="20"/>
              </w:rPr>
            </w:pPr>
            <w:r>
              <w:rPr>
                <w:rFonts w:cstheme="minorHAnsi"/>
                <w:color w:val="000000" w:themeColor="text1"/>
                <w:sz w:val="20"/>
              </w:rPr>
              <w:t>13,650</w:t>
            </w:r>
          </w:p>
        </w:tc>
        <w:tc>
          <w:tcPr>
            <w:tcW w:w="1560" w:type="dxa"/>
          </w:tcPr>
          <w:p w14:paraId="30C196F4" w14:textId="77777777" w:rsidR="00BE3E5C" w:rsidRPr="004A03D2" w:rsidRDefault="00DD6471" w:rsidP="00243724">
            <w:pPr>
              <w:pStyle w:val="Header"/>
              <w:jc w:val="center"/>
              <w:rPr>
                <w:rFonts w:cstheme="minorHAnsi"/>
                <w:color w:val="000000" w:themeColor="text1"/>
                <w:sz w:val="20"/>
              </w:rPr>
            </w:pPr>
            <w:r>
              <w:rPr>
                <w:rFonts w:cstheme="minorHAnsi"/>
                <w:color w:val="000000" w:themeColor="text1"/>
                <w:sz w:val="20"/>
              </w:rPr>
              <w:t>-5,713</w:t>
            </w:r>
          </w:p>
        </w:tc>
        <w:tc>
          <w:tcPr>
            <w:tcW w:w="1665" w:type="dxa"/>
          </w:tcPr>
          <w:p w14:paraId="0DC8D048" w14:textId="77777777" w:rsidR="00BE3E5C" w:rsidRPr="004A03D2" w:rsidRDefault="00DD6471" w:rsidP="00243724">
            <w:pPr>
              <w:pStyle w:val="Header"/>
              <w:jc w:val="center"/>
              <w:rPr>
                <w:rFonts w:cstheme="minorHAnsi"/>
                <w:color w:val="000000" w:themeColor="text1"/>
                <w:sz w:val="20"/>
              </w:rPr>
            </w:pPr>
            <w:r>
              <w:rPr>
                <w:rFonts w:cstheme="minorHAnsi"/>
                <w:color w:val="000000" w:themeColor="text1"/>
                <w:sz w:val="20"/>
              </w:rPr>
              <w:t>-29.50</w:t>
            </w:r>
          </w:p>
        </w:tc>
      </w:tr>
      <w:tr w:rsidR="00BE3E5C" w:rsidRPr="004A03D2" w14:paraId="28E656E5" w14:textId="77777777" w:rsidTr="00243724">
        <w:trPr>
          <w:jc w:val="center"/>
        </w:trPr>
        <w:tc>
          <w:tcPr>
            <w:tcW w:w="1433" w:type="dxa"/>
          </w:tcPr>
          <w:p w14:paraId="342349C4" w14:textId="77777777" w:rsidR="00BE3E5C" w:rsidRPr="004A03D2" w:rsidRDefault="00DD6471" w:rsidP="00243724">
            <w:pPr>
              <w:pStyle w:val="Header"/>
              <w:rPr>
                <w:rFonts w:cstheme="minorHAnsi"/>
                <w:color w:val="000000" w:themeColor="text1"/>
                <w:sz w:val="20"/>
              </w:rPr>
            </w:pPr>
            <w:r>
              <w:rPr>
                <w:rFonts w:cstheme="minorHAnsi"/>
                <w:color w:val="000000" w:themeColor="text1"/>
                <w:sz w:val="20"/>
              </w:rPr>
              <w:t>Wanganui</w:t>
            </w:r>
          </w:p>
        </w:tc>
        <w:tc>
          <w:tcPr>
            <w:tcW w:w="1227" w:type="dxa"/>
          </w:tcPr>
          <w:p w14:paraId="48D1ACA9" w14:textId="77777777" w:rsidR="00BE3E5C" w:rsidRPr="004A03D2" w:rsidRDefault="00DD6471" w:rsidP="00243724">
            <w:pPr>
              <w:pStyle w:val="Header"/>
              <w:jc w:val="center"/>
              <w:rPr>
                <w:rFonts w:cstheme="minorHAnsi"/>
                <w:color w:val="000000" w:themeColor="text1"/>
                <w:sz w:val="20"/>
              </w:rPr>
            </w:pPr>
            <w:r>
              <w:rPr>
                <w:rFonts w:cstheme="minorHAnsi"/>
                <w:color w:val="000000" w:themeColor="text1"/>
                <w:sz w:val="20"/>
              </w:rPr>
              <w:t>43,500</w:t>
            </w:r>
          </w:p>
        </w:tc>
        <w:tc>
          <w:tcPr>
            <w:tcW w:w="1560" w:type="dxa"/>
          </w:tcPr>
          <w:p w14:paraId="2ED99BAC" w14:textId="77777777" w:rsidR="00BE3E5C" w:rsidRPr="004A03D2" w:rsidRDefault="00BE3E5C" w:rsidP="00243724">
            <w:pPr>
              <w:pStyle w:val="Header"/>
              <w:jc w:val="center"/>
              <w:rPr>
                <w:rFonts w:cstheme="minorHAnsi"/>
                <w:color w:val="000000" w:themeColor="text1"/>
                <w:sz w:val="20"/>
              </w:rPr>
            </w:pPr>
            <w:r>
              <w:rPr>
                <w:rFonts w:cstheme="minorHAnsi"/>
                <w:color w:val="000000" w:themeColor="text1"/>
                <w:sz w:val="20"/>
              </w:rPr>
              <w:t>2</w:t>
            </w:r>
          </w:p>
        </w:tc>
        <w:tc>
          <w:tcPr>
            <w:tcW w:w="1275" w:type="dxa"/>
          </w:tcPr>
          <w:p w14:paraId="6D35EBE0" w14:textId="77777777" w:rsidR="00BE3E5C" w:rsidRPr="004A03D2" w:rsidRDefault="00DD6471" w:rsidP="00243724">
            <w:pPr>
              <w:pStyle w:val="Header"/>
              <w:jc w:val="center"/>
              <w:rPr>
                <w:rFonts w:cstheme="minorHAnsi"/>
                <w:color w:val="000000" w:themeColor="text1"/>
                <w:sz w:val="20"/>
              </w:rPr>
            </w:pPr>
            <w:r>
              <w:rPr>
                <w:rFonts w:cstheme="minorHAnsi"/>
                <w:color w:val="000000" w:themeColor="text1"/>
                <w:sz w:val="20"/>
              </w:rPr>
              <w:t>21,750</w:t>
            </w:r>
          </w:p>
        </w:tc>
        <w:tc>
          <w:tcPr>
            <w:tcW w:w="1560" w:type="dxa"/>
          </w:tcPr>
          <w:p w14:paraId="48A6DAC6" w14:textId="77777777" w:rsidR="00BE3E5C" w:rsidRPr="004A03D2" w:rsidRDefault="00DD6471" w:rsidP="00243724">
            <w:pPr>
              <w:pStyle w:val="Header"/>
              <w:jc w:val="center"/>
              <w:rPr>
                <w:rFonts w:cstheme="minorHAnsi"/>
                <w:color w:val="000000" w:themeColor="text1"/>
                <w:sz w:val="20"/>
              </w:rPr>
            </w:pPr>
            <w:r>
              <w:rPr>
                <w:rFonts w:cstheme="minorHAnsi"/>
                <w:color w:val="000000" w:themeColor="text1"/>
                <w:sz w:val="20"/>
              </w:rPr>
              <w:t>+2,3</w:t>
            </w:r>
            <w:r w:rsidR="000456BE">
              <w:rPr>
                <w:rFonts w:cstheme="minorHAnsi"/>
                <w:color w:val="000000" w:themeColor="text1"/>
                <w:sz w:val="20"/>
              </w:rPr>
              <w:t>87</w:t>
            </w:r>
          </w:p>
        </w:tc>
        <w:tc>
          <w:tcPr>
            <w:tcW w:w="1665" w:type="dxa"/>
          </w:tcPr>
          <w:p w14:paraId="4423B512" w14:textId="77777777" w:rsidR="00BE3E5C" w:rsidRPr="004A03D2" w:rsidRDefault="000456BE" w:rsidP="00243724">
            <w:pPr>
              <w:pStyle w:val="Header"/>
              <w:jc w:val="center"/>
              <w:rPr>
                <w:rFonts w:cstheme="minorHAnsi"/>
                <w:color w:val="000000" w:themeColor="text1"/>
                <w:sz w:val="20"/>
              </w:rPr>
            </w:pPr>
            <w:r>
              <w:rPr>
                <w:rFonts w:cstheme="minorHAnsi"/>
                <w:color w:val="000000" w:themeColor="text1"/>
                <w:sz w:val="20"/>
              </w:rPr>
              <w:t>+12.33</w:t>
            </w:r>
          </w:p>
        </w:tc>
      </w:tr>
      <w:tr w:rsidR="00BE3E5C" w:rsidRPr="004A03D2" w14:paraId="3CFF1E8B" w14:textId="77777777" w:rsidTr="00243724">
        <w:trPr>
          <w:jc w:val="center"/>
        </w:trPr>
        <w:tc>
          <w:tcPr>
            <w:tcW w:w="1433" w:type="dxa"/>
          </w:tcPr>
          <w:p w14:paraId="27A0637D" w14:textId="77777777" w:rsidR="00BE3E5C" w:rsidRPr="004A03D2" w:rsidRDefault="000456BE" w:rsidP="00243724">
            <w:pPr>
              <w:pStyle w:val="Header"/>
              <w:rPr>
                <w:rFonts w:cstheme="minorHAnsi"/>
                <w:color w:val="000000" w:themeColor="text1"/>
                <w:sz w:val="20"/>
              </w:rPr>
            </w:pPr>
            <w:r>
              <w:rPr>
                <w:rFonts w:cstheme="minorHAnsi"/>
                <w:color w:val="000000" w:themeColor="text1"/>
                <w:sz w:val="20"/>
              </w:rPr>
              <w:t>Manawatu-Rangitikei</w:t>
            </w:r>
          </w:p>
        </w:tc>
        <w:tc>
          <w:tcPr>
            <w:tcW w:w="1227" w:type="dxa"/>
          </w:tcPr>
          <w:p w14:paraId="4F157326" w14:textId="77777777" w:rsidR="00BE3E5C" w:rsidRPr="004A03D2" w:rsidRDefault="000456BE" w:rsidP="00243724">
            <w:pPr>
              <w:pStyle w:val="Header"/>
              <w:jc w:val="center"/>
              <w:rPr>
                <w:rFonts w:cstheme="minorHAnsi"/>
                <w:color w:val="000000" w:themeColor="text1"/>
                <w:sz w:val="20"/>
              </w:rPr>
            </w:pPr>
            <w:r>
              <w:rPr>
                <w:rFonts w:cstheme="minorHAnsi"/>
                <w:color w:val="000000" w:themeColor="text1"/>
                <w:sz w:val="20"/>
              </w:rPr>
              <w:t>35,300</w:t>
            </w:r>
          </w:p>
        </w:tc>
        <w:tc>
          <w:tcPr>
            <w:tcW w:w="1560" w:type="dxa"/>
          </w:tcPr>
          <w:p w14:paraId="04EF5040" w14:textId="77777777" w:rsidR="00BE3E5C" w:rsidRPr="004A03D2" w:rsidRDefault="000456BE" w:rsidP="00243724">
            <w:pPr>
              <w:pStyle w:val="Header"/>
              <w:jc w:val="center"/>
              <w:rPr>
                <w:rFonts w:cstheme="minorHAnsi"/>
                <w:color w:val="000000" w:themeColor="text1"/>
                <w:sz w:val="20"/>
              </w:rPr>
            </w:pPr>
            <w:r>
              <w:rPr>
                <w:rFonts w:cstheme="minorHAnsi"/>
                <w:color w:val="000000" w:themeColor="text1"/>
                <w:sz w:val="20"/>
              </w:rPr>
              <w:t>2</w:t>
            </w:r>
          </w:p>
        </w:tc>
        <w:tc>
          <w:tcPr>
            <w:tcW w:w="1275" w:type="dxa"/>
          </w:tcPr>
          <w:p w14:paraId="6BE659C0" w14:textId="77777777" w:rsidR="00BE3E5C" w:rsidRPr="004A03D2" w:rsidRDefault="000456BE" w:rsidP="00243724">
            <w:pPr>
              <w:pStyle w:val="Header"/>
              <w:jc w:val="center"/>
              <w:rPr>
                <w:rFonts w:cstheme="minorHAnsi"/>
                <w:color w:val="000000" w:themeColor="text1"/>
                <w:sz w:val="20"/>
              </w:rPr>
            </w:pPr>
            <w:r>
              <w:rPr>
                <w:rFonts w:cstheme="minorHAnsi"/>
                <w:color w:val="000000" w:themeColor="text1"/>
                <w:sz w:val="20"/>
              </w:rPr>
              <w:t>17,650</w:t>
            </w:r>
          </w:p>
        </w:tc>
        <w:tc>
          <w:tcPr>
            <w:tcW w:w="1560" w:type="dxa"/>
          </w:tcPr>
          <w:p w14:paraId="7F0E04EB" w14:textId="77777777" w:rsidR="00BE3E5C" w:rsidRPr="004A03D2" w:rsidRDefault="000456BE" w:rsidP="00243724">
            <w:pPr>
              <w:pStyle w:val="Header"/>
              <w:jc w:val="center"/>
              <w:rPr>
                <w:rFonts w:cstheme="minorHAnsi"/>
                <w:color w:val="000000" w:themeColor="text1"/>
                <w:sz w:val="20"/>
              </w:rPr>
            </w:pPr>
            <w:r>
              <w:rPr>
                <w:rFonts w:cstheme="minorHAnsi"/>
                <w:color w:val="000000" w:themeColor="text1"/>
                <w:sz w:val="20"/>
              </w:rPr>
              <w:t>-1,713</w:t>
            </w:r>
          </w:p>
        </w:tc>
        <w:tc>
          <w:tcPr>
            <w:tcW w:w="1665" w:type="dxa"/>
          </w:tcPr>
          <w:p w14:paraId="57DFBA68" w14:textId="77777777" w:rsidR="00BE3E5C" w:rsidRPr="004A03D2" w:rsidRDefault="000456BE" w:rsidP="00243724">
            <w:pPr>
              <w:pStyle w:val="Header"/>
              <w:jc w:val="center"/>
              <w:rPr>
                <w:rFonts w:cstheme="minorHAnsi"/>
                <w:color w:val="000000" w:themeColor="text1"/>
                <w:sz w:val="20"/>
              </w:rPr>
            </w:pPr>
            <w:r>
              <w:rPr>
                <w:rFonts w:cstheme="minorHAnsi"/>
                <w:color w:val="000000" w:themeColor="text1"/>
                <w:sz w:val="20"/>
              </w:rPr>
              <w:t>-8.85</w:t>
            </w:r>
          </w:p>
        </w:tc>
      </w:tr>
      <w:tr w:rsidR="00BE3E5C" w:rsidRPr="004A03D2" w14:paraId="007E1CC5" w14:textId="77777777" w:rsidTr="00243724">
        <w:trPr>
          <w:jc w:val="center"/>
        </w:trPr>
        <w:tc>
          <w:tcPr>
            <w:tcW w:w="1433" w:type="dxa"/>
          </w:tcPr>
          <w:p w14:paraId="22439084" w14:textId="77777777" w:rsidR="00BE3E5C" w:rsidRDefault="000456BE" w:rsidP="00243724">
            <w:pPr>
              <w:pStyle w:val="Header"/>
              <w:rPr>
                <w:rFonts w:cstheme="minorHAnsi"/>
                <w:color w:val="000000" w:themeColor="text1"/>
                <w:sz w:val="20"/>
              </w:rPr>
            </w:pPr>
            <w:r>
              <w:rPr>
                <w:rFonts w:cstheme="minorHAnsi"/>
                <w:color w:val="000000" w:themeColor="text1"/>
                <w:sz w:val="20"/>
              </w:rPr>
              <w:t>Palmerston North</w:t>
            </w:r>
          </w:p>
        </w:tc>
        <w:tc>
          <w:tcPr>
            <w:tcW w:w="1227" w:type="dxa"/>
          </w:tcPr>
          <w:p w14:paraId="150BDF83" w14:textId="77777777" w:rsidR="00BE3E5C" w:rsidRDefault="000456BE" w:rsidP="00243724">
            <w:pPr>
              <w:pStyle w:val="Header"/>
              <w:jc w:val="center"/>
              <w:rPr>
                <w:rFonts w:cstheme="minorHAnsi"/>
                <w:color w:val="000000" w:themeColor="text1"/>
                <w:sz w:val="20"/>
              </w:rPr>
            </w:pPr>
            <w:r>
              <w:rPr>
                <w:rFonts w:cstheme="minorHAnsi"/>
                <w:color w:val="000000" w:themeColor="text1"/>
                <w:sz w:val="20"/>
              </w:rPr>
              <w:t>82,100</w:t>
            </w:r>
          </w:p>
        </w:tc>
        <w:tc>
          <w:tcPr>
            <w:tcW w:w="1560" w:type="dxa"/>
          </w:tcPr>
          <w:p w14:paraId="038A69FA" w14:textId="77777777" w:rsidR="00BE3E5C" w:rsidRDefault="000456BE" w:rsidP="00243724">
            <w:pPr>
              <w:pStyle w:val="Header"/>
              <w:jc w:val="center"/>
              <w:rPr>
                <w:rFonts w:cstheme="minorHAnsi"/>
                <w:color w:val="000000" w:themeColor="text1"/>
                <w:sz w:val="20"/>
              </w:rPr>
            </w:pPr>
            <w:r>
              <w:rPr>
                <w:rFonts w:cstheme="minorHAnsi"/>
                <w:color w:val="000000" w:themeColor="text1"/>
                <w:sz w:val="20"/>
              </w:rPr>
              <w:t>4</w:t>
            </w:r>
          </w:p>
        </w:tc>
        <w:tc>
          <w:tcPr>
            <w:tcW w:w="1275" w:type="dxa"/>
          </w:tcPr>
          <w:p w14:paraId="701056F0" w14:textId="77777777" w:rsidR="00BE3E5C" w:rsidRDefault="000456BE" w:rsidP="00243724">
            <w:pPr>
              <w:pStyle w:val="Header"/>
              <w:jc w:val="center"/>
              <w:rPr>
                <w:rFonts w:cstheme="minorHAnsi"/>
                <w:color w:val="000000" w:themeColor="text1"/>
                <w:sz w:val="20"/>
              </w:rPr>
            </w:pPr>
            <w:r>
              <w:rPr>
                <w:rFonts w:cstheme="minorHAnsi"/>
                <w:color w:val="000000" w:themeColor="text1"/>
                <w:sz w:val="20"/>
              </w:rPr>
              <w:t>20,525</w:t>
            </w:r>
          </w:p>
        </w:tc>
        <w:tc>
          <w:tcPr>
            <w:tcW w:w="1560" w:type="dxa"/>
          </w:tcPr>
          <w:p w14:paraId="3DE41B17" w14:textId="77777777" w:rsidR="00BE3E5C" w:rsidRDefault="000456BE" w:rsidP="00243724">
            <w:pPr>
              <w:pStyle w:val="Header"/>
              <w:jc w:val="center"/>
              <w:rPr>
                <w:rFonts w:cstheme="minorHAnsi"/>
                <w:color w:val="000000" w:themeColor="text1"/>
                <w:sz w:val="20"/>
              </w:rPr>
            </w:pPr>
            <w:r>
              <w:rPr>
                <w:rFonts w:cstheme="minorHAnsi"/>
                <w:color w:val="000000" w:themeColor="text1"/>
                <w:sz w:val="20"/>
              </w:rPr>
              <w:t>+1,162</w:t>
            </w:r>
          </w:p>
        </w:tc>
        <w:tc>
          <w:tcPr>
            <w:tcW w:w="1665" w:type="dxa"/>
          </w:tcPr>
          <w:p w14:paraId="72F01C64" w14:textId="77777777" w:rsidR="00BE3E5C" w:rsidRDefault="000456BE" w:rsidP="00243724">
            <w:pPr>
              <w:pStyle w:val="Header"/>
              <w:jc w:val="center"/>
              <w:rPr>
                <w:rFonts w:cstheme="minorHAnsi"/>
                <w:color w:val="000000" w:themeColor="text1"/>
                <w:sz w:val="20"/>
              </w:rPr>
            </w:pPr>
            <w:r>
              <w:rPr>
                <w:rFonts w:cstheme="minorHAnsi"/>
                <w:color w:val="000000" w:themeColor="text1"/>
                <w:sz w:val="20"/>
              </w:rPr>
              <w:t>+6.00</w:t>
            </w:r>
          </w:p>
        </w:tc>
      </w:tr>
      <w:tr w:rsidR="00BE3E5C" w:rsidRPr="004A03D2" w14:paraId="514370E6" w14:textId="77777777" w:rsidTr="00243724">
        <w:trPr>
          <w:jc w:val="center"/>
        </w:trPr>
        <w:tc>
          <w:tcPr>
            <w:tcW w:w="1433" w:type="dxa"/>
          </w:tcPr>
          <w:p w14:paraId="01226F89" w14:textId="77777777" w:rsidR="00BE3E5C" w:rsidRPr="004A03D2" w:rsidRDefault="000456BE" w:rsidP="00243724">
            <w:pPr>
              <w:pStyle w:val="Header"/>
              <w:rPr>
                <w:rFonts w:cstheme="minorHAnsi"/>
                <w:color w:val="000000" w:themeColor="text1"/>
                <w:sz w:val="20"/>
              </w:rPr>
            </w:pPr>
            <w:proofErr w:type="spellStart"/>
            <w:r>
              <w:rPr>
                <w:rFonts w:cstheme="minorHAnsi"/>
                <w:color w:val="000000" w:themeColor="text1"/>
                <w:sz w:val="20"/>
              </w:rPr>
              <w:t>Horowhenua-Kairanga</w:t>
            </w:r>
            <w:proofErr w:type="spellEnd"/>
          </w:p>
        </w:tc>
        <w:tc>
          <w:tcPr>
            <w:tcW w:w="1227" w:type="dxa"/>
          </w:tcPr>
          <w:p w14:paraId="211D9691" w14:textId="77777777" w:rsidR="00BE3E5C" w:rsidRPr="004A03D2" w:rsidRDefault="000456BE" w:rsidP="00243724">
            <w:pPr>
              <w:pStyle w:val="Header"/>
              <w:jc w:val="center"/>
              <w:rPr>
                <w:rFonts w:cstheme="minorHAnsi"/>
                <w:color w:val="000000" w:themeColor="text1"/>
                <w:sz w:val="20"/>
              </w:rPr>
            </w:pPr>
            <w:r>
              <w:rPr>
                <w:rFonts w:cstheme="minorHAnsi"/>
                <w:color w:val="000000" w:themeColor="text1"/>
                <w:sz w:val="20"/>
              </w:rPr>
              <w:t>40,100</w:t>
            </w:r>
          </w:p>
        </w:tc>
        <w:tc>
          <w:tcPr>
            <w:tcW w:w="1560" w:type="dxa"/>
          </w:tcPr>
          <w:p w14:paraId="0725F5B5" w14:textId="77777777" w:rsidR="00BE3E5C" w:rsidRPr="004A03D2" w:rsidRDefault="000456BE" w:rsidP="00243724">
            <w:pPr>
              <w:pStyle w:val="Header"/>
              <w:jc w:val="center"/>
              <w:rPr>
                <w:rFonts w:cstheme="minorHAnsi"/>
                <w:color w:val="000000" w:themeColor="text1"/>
                <w:sz w:val="20"/>
              </w:rPr>
            </w:pPr>
            <w:r>
              <w:rPr>
                <w:rFonts w:cstheme="minorHAnsi"/>
                <w:color w:val="000000" w:themeColor="text1"/>
                <w:sz w:val="20"/>
              </w:rPr>
              <w:t>2</w:t>
            </w:r>
          </w:p>
        </w:tc>
        <w:tc>
          <w:tcPr>
            <w:tcW w:w="1275" w:type="dxa"/>
          </w:tcPr>
          <w:p w14:paraId="564FCE59" w14:textId="77777777" w:rsidR="00BE3E5C" w:rsidRPr="004A03D2" w:rsidRDefault="000456BE" w:rsidP="00243724">
            <w:pPr>
              <w:pStyle w:val="Header"/>
              <w:jc w:val="center"/>
              <w:rPr>
                <w:rFonts w:cstheme="minorHAnsi"/>
                <w:color w:val="000000" w:themeColor="text1"/>
                <w:sz w:val="20"/>
              </w:rPr>
            </w:pPr>
            <w:r>
              <w:rPr>
                <w:rFonts w:cstheme="minorHAnsi"/>
                <w:color w:val="000000" w:themeColor="text1"/>
                <w:sz w:val="20"/>
              </w:rPr>
              <w:t>20,050</w:t>
            </w:r>
          </w:p>
        </w:tc>
        <w:tc>
          <w:tcPr>
            <w:tcW w:w="1560" w:type="dxa"/>
          </w:tcPr>
          <w:p w14:paraId="4EAC0742" w14:textId="77777777" w:rsidR="00BE3E5C" w:rsidRPr="004A03D2" w:rsidRDefault="000456BE" w:rsidP="00243724">
            <w:pPr>
              <w:pStyle w:val="Header"/>
              <w:jc w:val="center"/>
              <w:rPr>
                <w:rFonts w:cstheme="minorHAnsi"/>
                <w:color w:val="000000" w:themeColor="text1"/>
                <w:sz w:val="20"/>
              </w:rPr>
            </w:pPr>
            <w:r>
              <w:rPr>
                <w:rFonts w:cstheme="minorHAnsi"/>
                <w:color w:val="000000" w:themeColor="text1"/>
                <w:sz w:val="20"/>
              </w:rPr>
              <w:t>+687</w:t>
            </w:r>
          </w:p>
        </w:tc>
        <w:tc>
          <w:tcPr>
            <w:tcW w:w="1665" w:type="dxa"/>
          </w:tcPr>
          <w:p w14:paraId="389F45BF" w14:textId="77777777" w:rsidR="00BE3E5C" w:rsidRPr="004A03D2" w:rsidRDefault="000456BE" w:rsidP="00243724">
            <w:pPr>
              <w:pStyle w:val="Header"/>
              <w:jc w:val="center"/>
              <w:rPr>
                <w:rFonts w:cstheme="minorHAnsi"/>
                <w:color w:val="000000" w:themeColor="text1"/>
                <w:sz w:val="20"/>
              </w:rPr>
            </w:pPr>
            <w:r>
              <w:rPr>
                <w:rFonts w:cstheme="minorHAnsi"/>
                <w:color w:val="000000" w:themeColor="text1"/>
                <w:sz w:val="20"/>
              </w:rPr>
              <w:t>+3.55</w:t>
            </w:r>
          </w:p>
        </w:tc>
      </w:tr>
      <w:tr w:rsidR="00BE3E5C" w:rsidRPr="004A03D2" w14:paraId="16B6840C" w14:textId="77777777" w:rsidTr="00243724">
        <w:trPr>
          <w:jc w:val="center"/>
        </w:trPr>
        <w:tc>
          <w:tcPr>
            <w:tcW w:w="1433" w:type="dxa"/>
          </w:tcPr>
          <w:p w14:paraId="234F1075" w14:textId="77777777" w:rsidR="00BE3E5C" w:rsidRDefault="000456BE" w:rsidP="00243724">
            <w:pPr>
              <w:pStyle w:val="Header"/>
              <w:rPr>
                <w:rFonts w:cstheme="minorHAnsi"/>
                <w:color w:val="000000" w:themeColor="text1"/>
                <w:sz w:val="20"/>
              </w:rPr>
            </w:pPr>
            <w:proofErr w:type="spellStart"/>
            <w:r>
              <w:rPr>
                <w:rFonts w:cstheme="minorHAnsi"/>
                <w:color w:val="000000" w:themeColor="text1"/>
                <w:sz w:val="20"/>
              </w:rPr>
              <w:t>Tararua</w:t>
            </w:r>
            <w:proofErr w:type="spellEnd"/>
            <w:r>
              <w:rPr>
                <w:rFonts w:cstheme="minorHAnsi"/>
                <w:color w:val="000000" w:themeColor="text1"/>
                <w:sz w:val="20"/>
              </w:rPr>
              <w:t xml:space="preserve"> </w:t>
            </w:r>
          </w:p>
        </w:tc>
        <w:tc>
          <w:tcPr>
            <w:tcW w:w="1227" w:type="dxa"/>
          </w:tcPr>
          <w:p w14:paraId="2B37175F" w14:textId="77777777" w:rsidR="00BE3E5C" w:rsidRDefault="000456BE" w:rsidP="00243724">
            <w:pPr>
              <w:pStyle w:val="Header"/>
              <w:jc w:val="center"/>
              <w:rPr>
                <w:rFonts w:cstheme="minorHAnsi"/>
                <w:color w:val="000000" w:themeColor="text1"/>
                <w:sz w:val="20"/>
              </w:rPr>
            </w:pPr>
            <w:r>
              <w:rPr>
                <w:rFonts w:cstheme="minorHAnsi"/>
                <w:color w:val="000000" w:themeColor="text1"/>
                <w:sz w:val="20"/>
              </w:rPr>
              <w:t>17,700</w:t>
            </w:r>
          </w:p>
        </w:tc>
        <w:tc>
          <w:tcPr>
            <w:tcW w:w="1560" w:type="dxa"/>
          </w:tcPr>
          <w:p w14:paraId="7B885A32" w14:textId="77777777" w:rsidR="00BE3E5C" w:rsidRDefault="00BE3E5C" w:rsidP="00243724">
            <w:pPr>
              <w:pStyle w:val="Header"/>
              <w:jc w:val="center"/>
              <w:rPr>
                <w:rFonts w:cstheme="minorHAnsi"/>
                <w:color w:val="000000" w:themeColor="text1"/>
                <w:sz w:val="20"/>
              </w:rPr>
            </w:pPr>
            <w:r>
              <w:rPr>
                <w:rFonts w:cstheme="minorHAnsi"/>
                <w:color w:val="000000" w:themeColor="text1"/>
                <w:sz w:val="20"/>
              </w:rPr>
              <w:t>1</w:t>
            </w:r>
          </w:p>
        </w:tc>
        <w:tc>
          <w:tcPr>
            <w:tcW w:w="1275" w:type="dxa"/>
          </w:tcPr>
          <w:p w14:paraId="38F92354" w14:textId="77777777" w:rsidR="00BE3E5C" w:rsidRDefault="000456BE" w:rsidP="00243724">
            <w:pPr>
              <w:pStyle w:val="Header"/>
              <w:jc w:val="center"/>
              <w:rPr>
                <w:rFonts w:cstheme="minorHAnsi"/>
                <w:color w:val="000000" w:themeColor="text1"/>
                <w:sz w:val="20"/>
              </w:rPr>
            </w:pPr>
            <w:r>
              <w:rPr>
                <w:rFonts w:cstheme="minorHAnsi"/>
                <w:color w:val="000000" w:themeColor="text1"/>
                <w:sz w:val="20"/>
              </w:rPr>
              <w:t>17,700</w:t>
            </w:r>
          </w:p>
        </w:tc>
        <w:tc>
          <w:tcPr>
            <w:tcW w:w="1560" w:type="dxa"/>
          </w:tcPr>
          <w:p w14:paraId="48CD2E66" w14:textId="77777777" w:rsidR="00BE3E5C" w:rsidRDefault="000456BE" w:rsidP="00243724">
            <w:pPr>
              <w:pStyle w:val="Header"/>
              <w:jc w:val="center"/>
              <w:rPr>
                <w:rFonts w:cstheme="minorHAnsi"/>
                <w:color w:val="000000" w:themeColor="text1"/>
                <w:sz w:val="20"/>
              </w:rPr>
            </w:pPr>
            <w:r>
              <w:rPr>
                <w:rFonts w:cstheme="minorHAnsi"/>
                <w:color w:val="000000" w:themeColor="text1"/>
                <w:sz w:val="20"/>
              </w:rPr>
              <w:t>-1,663</w:t>
            </w:r>
          </w:p>
        </w:tc>
        <w:tc>
          <w:tcPr>
            <w:tcW w:w="1665" w:type="dxa"/>
          </w:tcPr>
          <w:p w14:paraId="0279D394" w14:textId="77777777" w:rsidR="00BE3E5C" w:rsidRDefault="000456BE" w:rsidP="00243724">
            <w:pPr>
              <w:pStyle w:val="Header"/>
              <w:jc w:val="center"/>
              <w:rPr>
                <w:rFonts w:cstheme="minorHAnsi"/>
                <w:color w:val="000000" w:themeColor="text1"/>
                <w:sz w:val="20"/>
              </w:rPr>
            </w:pPr>
            <w:r>
              <w:rPr>
                <w:rFonts w:cstheme="minorHAnsi"/>
                <w:color w:val="000000" w:themeColor="text1"/>
                <w:sz w:val="20"/>
              </w:rPr>
              <w:t>-8.59</w:t>
            </w:r>
          </w:p>
        </w:tc>
      </w:tr>
      <w:tr w:rsidR="00BE3E5C" w:rsidRPr="004A03D2" w14:paraId="7F28E512" w14:textId="77777777" w:rsidTr="00243724">
        <w:trPr>
          <w:jc w:val="center"/>
        </w:trPr>
        <w:tc>
          <w:tcPr>
            <w:tcW w:w="1433" w:type="dxa"/>
          </w:tcPr>
          <w:p w14:paraId="72F48B70" w14:textId="77777777" w:rsidR="00BE3E5C" w:rsidRPr="004A03D2" w:rsidRDefault="00BE3E5C" w:rsidP="00243724">
            <w:pPr>
              <w:pStyle w:val="Header"/>
              <w:rPr>
                <w:rFonts w:cstheme="minorHAnsi"/>
                <w:color w:val="000000" w:themeColor="text1"/>
                <w:sz w:val="20"/>
              </w:rPr>
            </w:pPr>
            <w:r w:rsidRPr="004A03D2">
              <w:rPr>
                <w:rFonts w:cstheme="minorHAnsi"/>
                <w:b/>
                <w:color w:val="000000" w:themeColor="text1"/>
                <w:sz w:val="20"/>
              </w:rPr>
              <w:t>Total</w:t>
            </w:r>
          </w:p>
        </w:tc>
        <w:tc>
          <w:tcPr>
            <w:tcW w:w="1227" w:type="dxa"/>
          </w:tcPr>
          <w:p w14:paraId="2A9638AE" w14:textId="77777777" w:rsidR="00BE3E5C" w:rsidRPr="004A03D2" w:rsidRDefault="000456BE" w:rsidP="00243724">
            <w:pPr>
              <w:pStyle w:val="Header"/>
              <w:jc w:val="center"/>
              <w:rPr>
                <w:rFonts w:cstheme="minorHAnsi"/>
                <w:b/>
                <w:color w:val="000000" w:themeColor="text1"/>
                <w:sz w:val="20"/>
              </w:rPr>
            </w:pPr>
            <w:r>
              <w:rPr>
                <w:rFonts w:cstheme="minorHAnsi"/>
                <w:b/>
                <w:color w:val="000000" w:themeColor="text1"/>
                <w:sz w:val="20"/>
              </w:rPr>
              <w:t>232,350</w:t>
            </w:r>
          </w:p>
        </w:tc>
        <w:tc>
          <w:tcPr>
            <w:tcW w:w="1560" w:type="dxa"/>
          </w:tcPr>
          <w:p w14:paraId="600941C0" w14:textId="77777777" w:rsidR="00BE3E5C" w:rsidRPr="004A03D2" w:rsidRDefault="000456BE" w:rsidP="00243724">
            <w:pPr>
              <w:pStyle w:val="Header"/>
              <w:jc w:val="center"/>
              <w:rPr>
                <w:rFonts w:cstheme="minorHAnsi"/>
                <w:b/>
                <w:color w:val="000000" w:themeColor="text1"/>
                <w:sz w:val="20"/>
              </w:rPr>
            </w:pPr>
            <w:r>
              <w:rPr>
                <w:rFonts w:cstheme="minorHAnsi"/>
                <w:b/>
                <w:color w:val="000000" w:themeColor="text1"/>
                <w:sz w:val="20"/>
              </w:rPr>
              <w:t>12</w:t>
            </w:r>
          </w:p>
        </w:tc>
        <w:tc>
          <w:tcPr>
            <w:tcW w:w="1275" w:type="dxa"/>
          </w:tcPr>
          <w:p w14:paraId="5E2C5B15" w14:textId="77777777" w:rsidR="00BE3E5C" w:rsidRPr="004A03D2" w:rsidRDefault="000456BE" w:rsidP="00243724">
            <w:pPr>
              <w:pStyle w:val="Header"/>
              <w:jc w:val="center"/>
              <w:rPr>
                <w:rFonts w:cstheme="minorHAnsi"/>
                <w:b/>
                <w:color w:val="000000" w:themeColor="text1"/>
                <w:sz w:val="20"/>
              </w:rPr>
            </w:pPr>
            <w:r>
              <w:rPr>
                <w:rFonts w:cstheme="minorHAnsi"/>
                <w:b/>
                <w:color w:val="000000" w:themeColor="text1"/>
                <w:sz w:val="20"/>
              </w:rPr>
              <w:t>19,363</w:t>
            </w:r>
          </w:p>
        </w:tc>
        <w:tc>
          <w:tcPr>
            <w:tcW w:w="1560" w:type="dxa"/>
          </w:tcPr>
          <w:p w14:paraId="66AF29E4" w14:textId="77777777" w:rsidR="00BE3E5C" w:rsidRPr="004A03D2" w:rsidRDefault="00BE3E5C" w:rsidP="00243724">
            <w:pPr>
              <w:pStyle w:val="Header"/>
              <w:jc w:val="center"/>
              <w:rPr>
                <w:rFonts w:cstheme="minorHAnsi"/>
                <w:b/>
                <w:color w:val="000000" w:themeColor="text1"/>
                <w:sz w:val="20"/>
              </w:rPr>
            </w:pPr>
          </w:p>
        </w:tc>
        <w:tc>
          <w:tcPr>
            <w:tcW w:w="1665" w:type="dxa"/>
          </w:tcPr>
          <w:p w14:paraId="68E6F3EE" w14:textId="77777777" w:rsidR="00BE3E5C" w:rsidRPr="004A03D2" w:rsidRDefault="00BE3E5C" w:rsidP="00243724">
            <w:pPr>
              <w:pStyle w:val="Header"/>
              <w:jc w:val="center"/>
              <w:rPr>
                <w:rFonts w:cstheme="minorHAnsi"/>
                <w:b/>
                <w:color w:val="000000" w:themeColor="text1"/>
                <w:sz w:val="20"/>
              </w:rPr>
            </w:pPr>
          </w:p>
        </w:tc>
      </w:tr>
    </w:tbl>
    <w:p w14:paraId="5EE8EE28" w14:textId="77777777" w:rsidR="00BE3E5C" w:rsidRPr="004A03D2" w:rsidRDefault="00BE3E5C" w:rsidP="00BE3E5C">
      <w:pPr>
        <w:pStyle w:val="Header"/>
        <w:spacing w:after="120"/>
        <w:ind w:left="567" w:hanging="141"/>
        <w:rPr>
          <w:rFonts w:cstheme="minorHAnsi"/>
          <w:color w:val="000000" w:themeColor="text1"/>
          <w:sz w:val="20"/>
        </w:rPr>
      </w:pPr>
      <w:r w:rsidRPr="004A03D2">
        <w:rPr>
          <w:rFonts w:cstheme="minorHAnsi"/>
          <w:color w:val="000000" w:themeColor="text1"/>
          <w:sz w:val="20"/>
        </w:rPr>
        <w:t xml:space="preserve">* These </w:t>
      </w:r>
      <w:r>
        <w:rPr>
          <w:rFonts w:cstheme="minorHAnsi"/>
          <w:color w:val="000000" w:themeColor="text1"/>
          <w:sz w:val="20"/>
        </w:rPr>
        <w:t>figures a</w:t>
      </w:r>
      <w:r w:rsidRPr="004A03D2">
        <w:rPr>
          <w:rFonts w:cstheme="minorHAnsi"/>
          <w:color w:val="000000" w:themeColor="text1"/>
          <w:sz w:val="20"/>
        </w:rPr>
        <w:t>re 2011 population estimates</w:t>
      </w:r>
      <w:r>
        <w:rPr>
          <w:rFonts w:cstheme="minorHAnsi"/>
          <w:color w:val="000000" w:themeColor="text1"/>
          <w:sz w:val="20"/>
        </w:rPr>
        <w:t xml:space="preserve"> </w:t>
      </w:r>
    </w:p>
    <w:p w14:paraId="586D7A78" w14:textId="77777777" w:rsidR="00FF7BED" w:rsidRDefault="00FF7BED">
      <w:pPr>
        <w:spacing w:before="120" w:after="240" w:line="240" w:lineRule="auto"/>
        <w:rPr>
          <w:rFonts w:cstheme="minorHAnsi"/>
          <w:sz w:val="24"/>
          <w:szCs w:val="24"/>
        </w:rPr>
      </w:pPr>
      <w:r>
        <w:rPr>
          <w:rFonts w:cstheme="minorHAnsi"/>
          <w:sz w:val="24"/>
          <w:szCs w:val="24"/>
        </w:rPr>
        <w:br w:type="page"/>
      </w:r>
    </w:p>
    <w:p w14:paraId="29054FDF" w14:textId="4EB83E0E" w:rsidR="00BE3E5C" w:rsidRPr="004B6B4A" w:rsidRDefault="00BE3E5C" w:rsidP="00BE3E5C">
      <w:pPr>
        <w:pStyle w:val="ListParagraph"/>
        <w:numPr>
          <w:ilvl w:val="0"/>
          <w:numId w:val="25"/>
        </w:numPr>
        <w:spacing w:before="120" w:after="120" w:line="240" w:lineRule="auto"/>
        <w:ind w:hanging="720"/>
        <w:rPr>
          <w:rFonts w:cstheme="minorHAnsi"/>
          <w:sz w:val="24"/>
          <w:szCs w:val="24"/>
        </w:rPr>
      </w:pPr>
      <w:r w:rsidRPr="004B6B4A">
        <w:rPr>
          <w:rFonts w:cstheme="minorHAnsi"/>
          <w:sz w:val="24"/>
          <w:szCs w:val="24"/>
        </w:rPr>
        <w:lastRenderedPageBreak/>
        <w:t xml:space="preserve">The council began its current representation review with a workshop in </w:t>
      </w:r>
      <w:r w:rsidR="00717B82">
        <w:rPr>
          <w:rFonts w:cstheme="minorHAnsi"/>
          <w:sz w:val="24"/>
          <w:szCs w:val="24"/>
        </w:rPr>
        <w:t>February</w:t>
      </w:r>
      <w:r w:rsidRPr="004B6B4A">
        <w:rPr>
          <w:rFonts w:cstheme="minorHAnsi"/>
          <w:sz w:val="24"/>
          <w:szCs w:val="24"/>
        </w:rPr>
        <w:t xml:space="preserve"> 2018 </w:t>
      </w:r>
      <w:r w:rsidR="00717B82">
        <w:rPr>
          <w:rFonts w:cstheme="minorHAnsi"/>
          <w:sz w:val="24"/>
          <w:szCs w:val="24"/>
        </w:rPr>
        <w:t xml:space="preserve">at which ten scenarios for constituency boundaries including variations in the total number of </w:t>
      </w:r>
      <w:proofErr w:type="spellStart"/>
      <w:r w:rsidR="00717B82">
        <w:rPr>
          <w:rFonts w:cstheme="minorHAnsi"/>
          <w:sz w:val="24"/>
          <w:szCs w:val="24"/>
        </w:rPr>
        <w:t>councillors</w:t>
      </w:r>
      <w:proofErr w:type="spellEnd"/>
      <w:r w:rsidR="00717B82">
        <w:rPr>
          <w:rFonts w:cstheme="minorHAnsi"/>
          <w:sz w:val="24"/>
          <w:szCs w:val="24"/>
        </w:rPr>
        <w:t xml:space="preserve"> were </w:t>
      </w:r>
      <w:r w:rsidRPr="004B6B4A">
        <w:rPr>
          <w:rFonts w:cstheme="minorHAnsi"/>
          <w:sz w:val="24"/>
          <w:szCs w:val="24"/>
        </w:rPr>
        <w:t>consider</w:t>
      </w:r>
      <w:r w:rsidR="00717B82">
        <w:rPr>
          <w:rFonts w:cstheme="minorHAnsi"/>
          <w:sz w:val="24"/>
          <w:szCs w:val="24"/>
        </w:rPr>
        <w:t>ed. This was done in the context of communities of interest and achieving fair and effective repres</w:t>
      </w:r>
      <w:r w:rsidR="00654145">
        <w:rPr>
          <w:rFonts w:cstheme="minorHAnsi"/>
          <w:sz w:val="24"/>
          <w:szCs w:val="24"/>
        </w:rPr>
        <w:t>e</w:t>
      </w:r>
      <w:r w:rsidR="00717B82">
        <w:rPr>
          <w:rFonts w:cstheme="minorHAnsi"/>
          <w:sz w:val="24"/>
          <w:szCs w:val="24"/>
        </w:rPr>
        <w:t>ntation</w:t>
      </w:r>
      <w:r w:rsidRPr="004B6B4A">
        <w:rPr>
          <w:rFonts w:cstheme="minorHAnsi"/>
          <w:sz w:val="24"/>
          <w:szCs w:val="24"/>
        </w:rPr>
        <w:t>.</w:t>
      </w:r>
    </w:p>
    <w:p w14:paraId="05FEE29E" w14:textId="27AEB7C5" w:rsidR="00BE3E5C" w:rsidRPr="004B6B4A" w:rsidRDefault="00BE3E5C" w:rsidP="00BE3E5C">
      <w:pPr>
        <w:pStyle w:val="ListParagraph"/>
        <w:keepLines/>
        <w:numPr>
          <w:ilvl w:val="0"/>
          <w:numId w:val="25"/>
        </w:numPr>
        <w:spacing w:after="120" w:line="240" w:lineRule="auto"/>
        <w:ind w:hanging="720"/>
        <w:rPr>
          <w:sz w:val="24"/>
          <w:szCs w:val="24"/>
        </w:rPr>
      </w:pPr>
      <w:r w:rsidRPr="004B6B4A">
        <w:rPr>
          <w:sz w:val="24"/>
          <w:szCs w:val="24"/>
        </w:rPr>
        <w:t xml:space="preserve">At a meeting on </w:t>
      </w:r>
      <w:r w:rsidR="00717B82">
        <w:rPr>
          <w:sz w:val="24"/>
          <w:szCs w:val="24"/>
        </w:rPr>
        <w:t>27 March</w:t>
      </w:r>
      <w:r w:rsidRPr="004B6B4A">
        <w:rPr>
          <w:sz w:val="24"/>
          <w:szCs w:val="24"/>
        </w:rPr>
        <w:t xml:space="preserve"> 2018, the council, under section 19I of the Act, resolved its initial representation proposal. The proposal was for the retention of status quo representation arrangements </w:t>
      </w:r>
      <w:r w:rsidR="00717B82">
        <w:rPr>
          <w:sz w:val="24"/>
          <w:szCs w:val="24"/>
        </w:rPr>
        <w:t>a</w:t>
      </w:r>
      <w:r w:rsidRPr="004B6B4A">
        <w:rPr>
          <w:sz w:val="24"/>
          <w:szCs w:val="24"/>
        </w:rPr>
        <w:t>s</w:t>
      </w:r>
      <w:r w:rsidR="00717B82">
        <w:rPr>
          <w:sz w:val="24"/>
          <w:szCs w:val="24"/>
        </w:rPr>
        <w:t xml:space="preserve"> set out</w:t>
      </w:r>
      <w:r w:rsidRPr="004B6B4A">
        <w:rPr>
          <w:sz w:val="24"/>
          <w:szCs w:val="24"/>
        </w:rPr>
        <w:t xml:space="preserve"> in the following table.</w:t>
      </w:r>
    </w:p>
    <w:tbl>
      <w:tblPr>
        <w:tblStyle w:val="DIATable"/>
        <w:tblW w:w="0" w:type="auto"/>
        <w:jc w:val="center"/>
        <w:tblInd w:w="0" w:type="dxa"/>
        <w:tblLook w:val="04A0" w:firstRow="1" w:lastRow="0" w:firstColumn="1" w:lastColumn="0" w:noHBand="0" w:noVBand="1"/>
      </w:tblPr>
      <w:tblGrid>
        <w:gridCol w:w="1789"/>
        <w:gridCol w:w="1276"/>
        <w:gridCol w:w="1476"/>
        <w:gridCol w:w="1217"/>
        <w:gridCol w:w="1560"/>
        <w:gridCol w:w="1665"/>
      </w:tblGrid>
      <w:tr w:rsidR="00BE3E5C" w:rsidRPr="004A03D2" w14:paraId="6B2D18D5" w14:textId="77777777" w:rsidTr="00717B82">
        <w:trPr>
          <w:cnfStyle w:val="100000000000" w:firstRow="1" w:lastRow="0" w:firstColumn="0" w:lastColumn="0" w:oddVBand="0" w:evenVBand="0" w:oddHBand="0" w:evenHBand="0" w:firstRowFirstColumn="0" w:firstRowLastColumn="0" w:lastRowFirstColumn="0" w:lastRowLastColumn="0"/>
          <w:jc w:val="center"/>
        </w:trPr>
        <w:tc>
          <w:tcPr>
            <w:tcW w:w="1789" w:type="dxa"/>
          </w:tcPr>
          <w:p w14:paraId="1E486EAA" w14:textId="77777777" w:rsidR="00BE3E5C" w:rsidRPr="004A03D2" w:rsidRDefault="00BE3E5C" w:rsidP="00243724">
            <w:pPr>
              <w:pStyle w:val="Header"/>
              <w:jc w:val="center"/>
              <w:rPr>
                <w:rFonts w:cstheme="minorHAnsi"/>
                <w:color w:val="FFFFFF" w:themeColor="background1"/>
                <w:sz w:val="24"/>
              </w:rPr>
            </w:pPr>
            <w:r>
              <w:rPr>
                <w:rFonts w:cstheme="minorHAnsi"/>
                <w:color w:val="FFFFFF" w:themeColor="background1"/>
                <w:sz w:val="20"/>
              </w:rPr>
              <w:t>C</w:t>
            </w:r>
            <w:r w:rsidRPr="004A03D2">
              <w:rPr>
                <w:rFonts w:cstheme="minorHAnsi"/>
                <w:color w:val="FFFFFF" w:themeColor="background1"/>
                <w:sz w:val="20"/>
              </w:rPr>
              <w:t>onstituencies</w:t>
            </w:r>
          </w:p>
        </w:tc>
        <w:tc>
          <w:tcPr>
            <w:tcW w:w="1276" w:type="dxa"/>
          </w:tcPr>
          <w:p w14:paraId="5BCA2A20" w14:textId="77777777" w:rsidR="00BE3E5C" w:rsidRPr="004A03D2" w:rsidRDefault="00BE3E5C" w:rsidP="00243724">
            <w:pPr>
              <w:pStyle w:val="Header"/>
              <w:jc w:val="center"/>
              <w:rPr>
                <w:rFonts w:cstheme="minorHAnsi"/>
                <w:color w:val="FFFFFF" w:themeColor="background1"/>
                <w:sz w:val="24"/>
              </w:rPr>
            </w:pPr>
            <w:r w:rsidRPr="004A03D2">
              <w:rPr>
                <w:rFonts w:cstheme="minorHAnsi"/>
                <w:color w:val="FFFFFF" w:themeColor="background1"/>
                <w:sz w:val="20"/>
              </w:rPr>
              <w:t>Population*</w:t>
            </w:r>
          </w:p>
        </w:tc>
        <w:tc>
          <w:tcPr>
            <w:tcW w:w="1476" w:type="dxa"/>
          </w:tcPr>
          <w:p w14:paraId="75BEFA91" w14:textId="77777777" w:rsidR="00BE3E5C" w:rsidRPr="004A03D2" w:rsidRDefault="00BE3E5C" w:rsidP="00243724">
            <w:pPr>
              <w:pStyle w:val="Header"/>
              <w:jc w:val="center"/>
              <w:rPr>
                <w:rFonts w:cstheme="minorHAnsi"/>
                <w:color w:val="FFFFFF" w:themeColor="background1"/>
                <w:sz w:val="24"/>
              </w:rPr>
            </w:pPr>
            <w:r w:rsidRPr="004A03D2">
              <w:rPr>
                <w:rFonts w:cstheme="minorHAnsi"/>
                <w:color w:val="FFFFFF" w:themeColor="background1"/>
                <w:sz w:val="20"/>
              </w:rPr>
              <w:t xml:space="preserve">Number of </w:t>
            </w:r>
            <w:proofErr w:type="spellStart"/>
            <w:r w:rsidRPr="004A03D2">
              <w:rPr>
                <w:rFonts w:cstheme="minorHAnsi"/>
                <w:color w:val="FFFFFF" w:themeColor="background1"/>
                <w:sz w:val="20"/>
              </w:rPr>
              <w:t>councillors</w:t>
            </w:r>
            <w:proofErr w:type="spellEnd"/>
            <w:r w:rsidRPr="004A03D2">
              <w:rPr>
                <w:rFonts w:cstheme="minorHAnsi"/>
                <w:color w:val="FFFFFF" w:themeColor="background1"/>
                <w:sz w:val="20"/>
              </w:rPr>
              <w:t xml:space="preserve"> per constituency</w:t>
            </w:r>
          </w:p>
        </w:tc>
        <w:tc>
          <w:tcPr>
            <w:tcW w:w="1217" w:type="dxa"/>
          </w:tcPr>
          <w:p w14:paraId="3A9F90ED" w14:textId="77777777" w:rsidR="00BE3E5C" w:rsidRPr="004A03D2" w:rsidRDefault="00BE3E5C" w:rsidP="00243724">
            <w:pPr>
              <w:pStyle w:val="Header"/>
              <w:jc w:val="center"/>
              <w:rPr>
                <w:rFonts w:cstheme="minorHAnsi"/>
                <w:color w:val="FFFFFF" w:themeColor="background1"/>
                <w:sz w:val="24"/>
              </w:rPr>
            </w:pPr>
            <w:r w:rsidRPr="004A03D2">
              <w:rPr>
                <w:rFonts w:cstheme="minorHAnsi"/>
                <w:color w:val="FFFFFF" w:themeColor="background1"/>
                <w:sz w:val="20"/>
              </w:rPr>
              <w:t xml:space="preserve">Population per </w:t>
            </w:r>
            <w:proofErr w:type="spellStart"/>
            <w:r w:rsidRPr="004A03D2">
              <w:rPr>
                <w:rFonts w:cstheme="minorHAnsi"/>
                <w:color w:val="FFFFFF" w:themeColor="background1"/>
                <w:sz w:val="20"/>
              </w:rPr>
              <w:t>councillor</w:t>
            </w:r>
            <w:proofErr w:type="spellEnd"/>
          </w:p>
        </w:tc>
        <w:tc>
          <w:tcPr>
            <w:tcW w:w="1560" w:type="dxa"/>
          </w:tcPr>
          <w:p w14:paraId="16879E81" w14:textId="77777777" w:rsidR="00BE3E5C" w:rsidRPr="004A03D2" w:rsidRDefault="00BE3E5C" w:rsidP="00243724">
            <w:pPr>
              <w:pStyle w:val="Header"/>
              <w:jc w:val="center"/>
              <w:rPr>
                <w:rFonts w:cstheme="minorHAnsi"/>
                <w:color w:val="FFFFFF" w:themeColor="background1"/>
                <w:sz w:val="24"/>
              </w:rPr>
            </w:pPr>
            <w:r w:rsidRPr="004A03D2">
              <w:rPr>
                <w:rFonts w:cstheme="minorHAnsi"/>
                <w:color w:val="FFFFFF" w:themeColor="background1"/>
                <w:sz w:val="20"/>
              </w:rPr>
              <w:t xml:space="preserve">Deviation from region average population per </w:t>
            </w:r>
            <w:proofErr w:type="spellStart"/>
            <w:r w:rsidRPr="004A03D2">
              <w:rPr>
                <w:rFonts w:cstheme="minorHAnsi"/>
                <w:color w:val="FFFFFF" w:themeColor="background1"/>
                <w:sz w:val="20"/>
              </w:rPr>
              <w:t>councillor</w:t>
            </w:r>
            <w:proofErr w:type="spellEnd"/>
          </w:p>
        </w:tc>
        <w:tc>
          <w:tcPr>
            <w:tcW w:w="1665" w:type="dxa"/>
          </w:tcPr>
          <w:p w14:paraId="6BD87C80" w14:textId="77777777" w:rsidR="00BE3E5C" w:rsidRPr="004A03D2" w:rsidRDefault="00BE3E5C" w:rsidP="00243724">
            <w:pPr>
              <w:pStyle w:val="Header"/>
              <w:jc w:val="center"/>
              <w:rPr>
                <w:rFonts w:cstheme="minorHAnsi"/>
                <w:color w:val="FFFFFF" w:themeColor="background1"/>
                <w:sz w:val="24"/>
              </w:rPr>
            </w:pPr>
            <w:r w:rsidRPr="004A03D2">
              <w:rPr>
                <w:rFonts w:cstheme="minorHAnsi"/>
                <w:color w:val="FFFFFF" w:themeColor="background1"/>
                <w:sz w:val="20"/>
              </w:rPr>
              <w:t xml:space="preserve">% deviation from region </w:t>
            </w:r>
            <w:r>
              <w:rPr>
                <w:rFonts w:cstheme="minorHAnsi"/>
                <w:color w:val="FFFFFF" w:themeColor="background1"/>
                <w:sz w:val="20"/>
              </w:rPr>
              <w:t xml:space="preserve">average </w:t>
            </w:r>
            <w:r w:rsidRPr="004A03D2">
              <w:rPr>
                <w:rFonts w:cstheme="minorHAnsi"/>
                <w:color w:val="FFFFFF" w:themeColor="background1"/>
                <w:sz w:val="20"/>
              </w:rPr>
              <w:t xml:space="preserve">population per </w:t>
            </w:r>
            <w:proofErr w:type="spellStart"/>
            <w:r w:rsidRPr="004A03D2">
              <w:rPr>
                <w:rFonts w:cstheme="minorHAnsi"/>
                <w:color w:val="FFFFFF" w:themeColor="background1"/>
                <w:sz w:val="20"/>
              </w:rPr>
              <w:t>councillor</w:t>
            </w:r>
            <w:proofErr w:type="spellEnd"/>
          </w:p>
        </w:tc>
      </w:tr>
      <w:tr w:rsidR="004910D0" w:rsidRPr="004A03D2" w14:paraId="0A29DC66" w14:textId="77777777" w:rsidTr="00717B82">
        <w:trPr>
          <w:jc w:val="center"/>
        </w:trPr>
        <w:tc>
          <w:tcPr>
            <w:tcW w:w="1789" w:type="dxa"/>
          </w:tcPr>
          <w:p w14:paraId="3C1E9798" w14:textId="6C6A0F3E" w:rsidR="004910D0" w:rsidRPr="004A03D2" w:rsidRDefault="004910D0" w:rsidP="004910D0">
            <w:pPr>
              <w:pStyle w:val="Header"/>
              <w:rPr>
                <w:rFonts w:cstheme="minorHAnsi"/>
                <w:b/>
                <w:color w:val="FFFFFF" w:themeColor="background1"/>
                <w:sz w:val="20"/>
              </w:rPr>
            </w:pPr>
            <w:r>
              <w:rPr>
                <w:rFonts w:cstheme="minorHAnsi"/>
                <w:color w:val="000000" w:themeColor="text1"/>
                <w:sz w:val="20"/>
              </w:rPr>
              <w:t>Ruapehu</w:t>
            </w:r>
          </w:p>
        </w:tc>
        <w:tc>
          <w:tcPr>
            <w:tcW w:w="1276" w:type="dxa"/>
          </w:tcPr>
          <w:p w14:paraId="7CAA7190" w14:textId="237121A0" w:rsidR="004910D0" w:rsidRPr="004910D0" w:rsidRDefault="004910D0" w:rsidP="004910D0">
            <w:pPr>
              <w:pStyle w:val="Header"/>
              <w:jc w:val="center"/>
              <w:rPr>
                <w:rFonts w:cstheme="minorHAnsi"/>
                <w:color w:val="auto"/>
                <w:sz w:val="20"/>
                <w:szCs w:val="20"/>
              </w:rPr>
            </w:pPr>
            <w:r w:rsidRPr="004910D0">
              <w:rPr>
                <w:color w:val="auto"/>
                <w:sz w:val="20"/>
                <w:szCs w:val="20"/>
              </w:rPr>
              <w:t>12,900</w:t>
            </w:r>
          </w:p>
        </w:tc>
        <w:tc>
          <w:tcPr>
            <w:tcW w:w="1476" w:type="dxa"/>
          </w:tcPr>
          <w:p w14:paraId="31D3AF3A" w14:textId="4623CAD2" w:rsidR="004910D0" w:rsidRPr="004910D0" w:rsidRDefault="004910D0" w:rsidP="004910D0">
            <w:pPr>
              <w:pStyle w:val="Header"/>
              <w:jc w:val="center"/>
              <w:rPr>
                <w:rFonts w:cstheme="minorHAnsi"/>
                <w:color w:val="auto"/>
                <w:sz w:val="20"/>
                <w:szCs w:val="20"/>
              </w:rPr>
            </w:pPr>
            <w:r w:rsidRPr="004910D0">
              <w:rPr>
                <w:color w:val="auto"/>
                <w:sz w:val="20"/>
                <w:szCs w:val="20"/>
              </w:rPr>
              <w:t>1</w:t>
            </w:r>
          </w:p>
        </w:tc>
        <w:tc>
          <w:tcPr>
            <w:tcW w:w="1217" w:type="dxa"/>
          </w:tcPr>
          <w:p w14:paraId="20F61F1C" w14:textId="6628B001" w:rsidR="004910D0" w:rsidRPr="004910D0" w:rsidRDefault="004910D0" w:rsidP="004910D0">
            <w:pPr>
              <w:pStyle w:val="Header"/>
              <w:jc w:val="center"/>
              <w:rPr>
                <w:rFonts w:cstheme="minorHAnsi"/>
                <w:color w:val="auto"/>
                <w:sz w:val="20"/>
                <w:szCs w:val="20"/>
              </w:rPr>
            </w:pPr>
            <w:r w:rsidRPr="004910D0">
              <w:rPr>
                <w:color w:val="auto"/>
                <w:sz w:val="20"/>
                <w:szCs w:val="20"/>
              </w:rPr>
              <w:t>12,900</w:t>
            </w:r>
          </w:p>
        </w:tc>
        <w:tc>
          <w:tcPr>
            <w:tcW w:w="1560" w:type="dxa"/>
          </w:tcPr>
          <w:p w14:paraId="1D144340" w14:textId="41F50EC6" w:rsidR="004910D0" w:rsidRPr="004910D0" w:rsidRDefault="004910D0" w:rsidP="004910D0">
            <w:pPr>
              <w:pStyle w:val="Header"/>
              <w:jc w:val="center"/>
              <w:rPr>
                <w:rFonts w:cstheme="minorHAnsi"/>
                <w:color w:val="auto"/>
                <w:sz w:val="20"/>
                <w:szCs w:val="20"/>
              </w:rPr>
            </w:pPr>
            <w:r w:rsidRPr="004910D0">
              <w:rPr>
                <w:color w:val="auto"/>
                <w:sz w:val="20"/>
                <w:szCs w:val="20"/>
              </w:rPr>
              <w:t>-7,117</w:t>
            </w:r>
          </w:p>
        </w:tc>
        <w:tc>
          <w:tcPr>
            <w:tcW w:w="1665" w:type="dxa"/>
          </w:tcPr>
          <w:p w14:paraId="2D64AC11" w14:textId="714497CB" w:rsidR="004910D0" w:rsidRPr="004910D0" w:rsidRDefault="004910D0" w:rsidP="004910D0">
            <w:pPr>
              <w:pStyle w:val="Header"/>
              <w:jc w:val="center"/>
              <w:rPr>
                <w:rFonts w:cstheme="minorHAnsi"/>
                <w:color w:val="auto"/>
                <w:sz w:val="20"/>
                <w:szCs w:val="20"/>
              </w:rPr>
            </w:pPr>
            <w:r w:rsidRPr="004910D0">
              <w:rPr>
                <w:color w:val="auto"/>
                <w:sz w:val="20"/>
                <w:szCs w:val="20"/>
              </w:rPr>
              <w:t>-35.55</w:t>
            </w:r>
          </w:p>
        </w:tc>
      </w:tr>
      <w:tr w:rsidR="004910D0" w:rsidRPr="004A03D2" w14:paraId="39113891" w14:textId="77777777" w:rsidTr="00717B82">
        <w:trPr>
          <w:jc w:val="center"/>
        </w:trPr>
        <w:tc>
          <w:tcPr>
            <w:tcW w:w="1789" w:type="dxa"/>
          </w:tcPr>
          <w:p w14:paraId="02F8EED4" w14:textId="59C251ED" w:rsidR="004910D0" w:rsidRPr="004A03D2" w:rsidRDefault="004910D0" w:rsidP="004910D0">
            <w:pPr>
              <w:pStyle w:val="Header"/>
              <w:rPr>
                <w:rFonts w:cstheme="minorHAnsi"/>
                <w:color w:val="000000" w:themeColor="text1"/>
                <w:sz w:val="20"/>
              </w:rPr>
            </w:pPr>
            <w:r>
              <w:rPr>
                <w:rFonts w:cstheme="minorHAnsi"/>
                <w:color w:val="000000" w:themeColor="text1"/>
                <w:sz w:val="20"/>
              </w:rPr>
              <w:t>Wanganui</w:t>
            </w:r>
          </w:p>
        </w:tc>
        <w:tc>
          <w:tcPr>
            <w:tcW w:w="1276" w:type="dxa"/>
          </w:tcPr>
          <w:p w14:paraId="22EEF038" w14:textId="6F804D17" w:rsidR="004910D0" w:rsidRPr="004910D0" w:rsidRDefault="004910D0" w:rsidP="004910D0">
            <w:pPr>
              <w:pStyle w:val="Header"/>
              <w:jc w:val="center"/>
              <w:rPr>
                <w:rFonts w:cstheme="minorHAnsi"/>
                <w:color w:val="auto"/>
                <w:sz w:val="20"/>
                <w:szCs w:val="20"/>
              </w:rPr>
            </w:pPr>
            <w:r w:rsidRPr="004910D0">
              <w:rPr>
                <w:color w:val="auto"/>
                <w:sz w:val="20"/>
                <w:szCs w:val="20"/>
              </w:rPr>
              <w:t>44,500</w:t>
            </w:r>
          </w:p>
        </w:tc>
        <w:tc>
          <w:tcPr>
            <w:tcW w:w="1476" w:type="dxa"/>
          </w:tcPr>
          <w:p w14:paraId="43824679" w14:textId="281A5F6C" w:rsidR="004910D0" w:rsidRPr="004910D0" w:rsidRDefault="004910D0" w:rsidP="004910D0">
            <w:pPr>
              <w:pStyle w:val="Header"/>
              <w:jc w:val="center"/>
              <w:rPr>
                <w:rFonts w:cstheme="minorHAnsi"/>
                <w:color w:val="auto"/>
                <w:sz w:val="20"/>
                <w:szCs w:val="20"/>
              </w:rPr>
            </w:pPr>
            <w:r w:rsidRPr="004910D0">
              <w:rPr>
                <w:color w:val="auto"/>
                <w:sz w:val="20"/>
                <w:szCs w:val="20"/>
              </w:rPr>
              <w:t>2</w:t>
            </w:r>
          </w:p>
        </w:tc>
        <w:tc>
          <w:tcPr>
            <w:tcW w:w="1217" w:type="dxa"/>
          </w:tcPr>
          <w:p w14:paraId="77D66E4A" w14:textId="16CB73A6" w:rsidR="004910D0" w:rsidRPr="004910D0" w:rsidRDefault="004910D0" w:rsidP="004910D0">
            <w:pPr>
              <w:pStyle w:val="Header"/>
              <w:jc w:val="center"/>
              <w:rPr>
                <w:rFonts w:cstheme="minorHAnsi"/>
                <w:color w:val="auto"/>
                <w:sz w:val="20"/>
                <w:szCs w:val="20"/>
              </w:rPr>
            </w:pPr>
            <w:r w:rsidRPr="004910D0">
              <w:rPr>
                <w:color w:val="auto"/>
                <w:sz w:val="20"/>
                <w:szCs w:val="20"/>
              </w:rPr>
              <w:t>22,250</w:t>
            </w:r>
          </w:p>
        </w:tc>
        <w:tc>
          <w:tcPr>
            <w:tcW w:w="1560" w:type="dxa"/>
          </w:tcPr>
          <w:p w14:paraId="78520105" w14:textId="162070BD" w:rsidR="004910D0" w:rsidRPr="004910D0" w:rsidRDefault="004910D0" w:rsidP="004910D0">
            <w:pPr>
              <w:pStyle w:val="Header"/>
              <w:jc w:val="center"/>
              <w:rPr>
                <w:rFonts w:cstheme="minorHAnsi"/>
                <w:color w:val="auto"/>
                <w:sz w:val="20"/>
                <w:szCs w:val="20"/>
              </w:rPr>
            </w:pPr>
            <w:r w:rsidRPr="004910D0">
              <w:rPr>
                <w:color w:val="auto"/>
                <w:sz w:val="20"/>
                <w:szCs w:val="20"/>
              </w:rPr>
              <w:t>+2,233</w:t>
            </w:r>
          </w:p>
        </w:tc>
        <w:tc>
          <w:tcPr>
            <w:tcW w:w="1665" w:type="dxa"/>
          </w:tcPr>
          <w:p w14:paraId="7CFE0BA2" w14:textId="7591B66F" w:rsidR="004910D0" w:rsidRPr="004910D0" w:rsidRDefault="004910D0" w:rsidP="004910D0">
            <w:pPr>
              <w:pStyle w:val="Header"/>
              <w:jc w:val="center"/>
              <w:rPr>
                <w:rFonts w:cstheme="minorHAnsi"/>
                <w:color w:val="auto"/>
                <w:sz w:val="20"/>
                <w:szCs w:val="20"/>
              </w:rPr>
            </w:pPr>
            <w:r w:rsidRPr="004910D0">
              <w:rPr>
                <w:color w:val="auto"/>
                <w:sz w:val="20"/>
                <w:szCs w:val="20"/>
              </w:rPr>
              <w:t>+11.16</w:t>
            </w:r>
          </w:p>
        </w:tc>
      </w:tr>
      <w:tr w:rsidR="004910D0" w:rsidRPr="004A03D2" w14:paraId="5608688D" w14:textId="77777777" w:rsidTr="00717B82">
        <w:trPr>
          <w:jc w:val="center"/>
        </w:trPr>
        <w:tc>
          <w:tcPr>
            <w:tcW w:w="1789" w:type="dxa"/>
          </w:tcPr>
          <w:p w14:paraId="64B3F01C" w14:textId="0A02F2F0" w:rsidR="004910D0" w:rsidRPr="004A03D2" w:rsidRDefault="004910D0" w:rsidP="004910D0">
            <w:pPr>
              <w:pStyle w:val="Header"/>
              <w:rPr>
                <w:rFonts w:cstheme="minorHAnsi"/>
                <w:color w:val="000000" w:themeColor="text1"/>
                <w:sz w:val="20"/>
              </w:rPr>
            </w:pPr>
            <w:r>
              <w:rPr>
                <w:rFonts w:cstheme="minorHAnsi"/>
                <w:color w:val="000000" w:themeColor="text1"/>
                <w:sz w:val="20"/>
              </w:rPr>
              <w:t>Manawatu-Rangitikei</w:t>
            </w:r>
          </w:p>
        </w:tc>
        <w:tc>
          <w:tcPr>
            <w:tcW w:w="1276" w:type="dxa"/>
          </w:tcPr>
          <w:p w14:paraId="660F4F6A" w14:textId="7210ADDE" w:rsidR="004910D0" w:rsidRPr="004910D0" w:rsidRDefault="004910D0" w:rsidP="004910D0">
            <w:pPr>
              <w:pStyle w:val="Header"/>
              <w:jc w:val="center"/>
              <w:rPr>
                <w:rFonts w:cstheme="minorHAnsi"/>
                <w:color w:val="auto"/>
                <w:sz w:val="20"/>
                <w:szCs w:val="20"/>
              </w:rPr>
            </w:pPr>
            <w:r w:rsidRPr="004910D0">
              <w:rPr>
                <w:color w:val="auto"/>
                <w:sz w:val="20"/>
                <w:szCs w:val="20"/>
              </w:rPr>
              <w:t>37,400</w:t>
            </w:r>
          </w:p>
        </w:tc>
        <w:tc>
          <w:tcPr>
            <w:tcW w:w="1476" w:type="dxa"/>
          </w:tcPr>
          <w:p w14:paraId="74668F43" w14:textId="04EB0D12" w:rsidR="004910D0" w:rsidRPr="004910D0" w:rsidRDefault="004910D0" w:rsidP="004910D0">
            <w:pPr>
              <w:pStyle w:val="Header"/>
              <w:jc w:val="center"/>
              <w:rPr>
                <w:rFonts w:cstheme="minorHAnsi"/>
                <w:color w:val="auto"/>
                <w:sz w:val="20"/>
                <w:szCs w:val="20"/>
              </w:rPr>
            </w:pPr>
            <w:r w:rsidRPr="004910D0">
              <w:rPr>
                <w:color w:val="auto"/>
                <w:sz w:val="20"/>
                <w:szCs w:val="20"/>
              </w:rPr>
              <w:t>2</w:t>
            </w:r>
          </w:p>
        </w:tc>
        <w:tc>
          <w:tcPr>
            <w:tcW w:w="1217" w:type="dxa"/>
          </w:tcPr>
          <w:p w14:paraId="1D9303EA" w14:textId="486122E9" w:rsidR="004910D0" w:rsidRPr="004910D0" w:rsidRDefault="004910D0" w:rsidP="004910D0">
            <w:pPr>
              <w:pStyle w:val="Header"/>
              <w:jc w:val="center"/>
              <w:rPr>
                <w:rFonts w:cstheme="minorHAnsi"/>
                <w:color w:val="auto"/>
                <w:sz w:val="20"/>
                <w:szCs w:val="20"/>
              </w:rPr>
            </w:pPr>
            <w:r w:rsidRPr="004910D0">
              <w:rPr>
                <w:color w:val="auto"/>
                <w:sz w:val="20"/>
                <w:szCs w:val="20"/>
              </w:rPr>
              <w:t>18,700</w:t>
            </w:r>
          </w:p>
        </w:tc>
        <w:tc>
          <w:tcPr>
            <w:tcW w:w="1560" w:type="dxa"/>
          </w:tcPr>
          <w:p w14:paraId="2C09E42D" w14:textId="51852766" w:rsidR="004910D0" w:rsidRPr="004910D0" w:rsidRDefault="004910D0" w:rsidP="004910D0">
            <w:pPr>
              <w:pStyle w:val="Header"/>
              <w:jc w:val="center"/>
              <w:rPr>
                <w:rFonts w:cstheme="minorHAnsi"/>
                <w:color w:val="auto"/>
                <w:sz w:val="20"/>
                <w:szCs w:val="20"/>
              </w:rPr>
            </w:pPr>
            <w:r w:rsidRPr="004910D0">
              <w:rPr>
                <w:color w:val="auto"/>
                <w:sz w:val="20"/>
                <w:szCs w:val="20"/>
              </w:rPr>
              <w:t>-1,317</w:t>
            </w:r>
          </w:p>
        </w:tc>
        <w:tc>
          <w:tcPr>
            <w:tcW w:w="1665" w:type="dxa"/>
          </w:tcPr>
          <w:p w14:paraId="128366B8" w14:textId="7C455D53" w:rsidR="004910D0" w:rsidRPr="004910D0" w:rsidRDefault="004910D0" w:rsidP="004910D0">
            <w:pPr>
              <w:pStyle w:val="Header"/>
              <w:jc w:val="center"/>
              <w:rPr>
                <w:rFonts w:cstheme="minorHAnsi"/>
                <w:color w:val="auto"/>
                <w:sz w:val="20"/>
                <w:szCs w:val="20"/>
              </w:rPr>
            </w:pPr>
            <w:r w:rsidRPr="004910D0">
              <w:rPr>
                <w:color w:val="auto"/>
                <w:sz w:val="20"/>
                <w:szCs w:val="20"/>
              </w:rPr>
              <w:t>-6.58</w:t>
            </w:r>
          </w:p>
        </w:tc>
      </w:tr>
      <w:tr w:rsidR="004910D0" w:rsidRPr="004A03D2" w14:paraId="702CC75E" w14:textId="77777777" w:rsidTr="00717B82">
        <w:trPr>
          <w:jc w:val="center"/>
        </w:trPr>
        <w:tc>
          <w:tcPr>
            <w:tcW w:w="1789" w:type="dxa"/>
          </w:tcPr>
          <w:p w14:paraId="1B9FBC8C" w14:textId="4CB3A7CD" w:rsidR="004910D0" w:rsidRDefault="004910D0" w:rsidP="004910D0">
            <w:pPr>
              <w:pStyle w:val="Header"/>
              <w:rPr>
                <w:rFonts w:cstheme="minorHAnsi"/>
                <w:color w:val="000000" w:themeColor="text1"/>
                <w:sz w:val="20"/>
              </w:rPr>
            </w:pPr>
            <w:r>
              <w:rPr>
                <w:rFonts w:cstheme="minorHAnsi"/>
                <w:color w:val="000000" w:themeColor="text1"/>
                <w:sz w:val="20"/>
              </w:rPr>
              <w:t>Palmerston North</w:t>
            </w:r>
          </w:p>
        </w:tc>
        <w:tc>
          <w:tcPr>
            <w:tcW w:w="1276" w:type="dxa"/>
          </w:tcPr>
          <w:p w14:paraId="5A10F9BC" w14:textId="0C1A413A" w:rsidR="004910D0" w:rsidRPr="004910D0" w:rsidRDefault="004910D0" w:rsidP="004910D0">
            <w:pPr>
              <w:pStyle w:val="Header"/>
              <w:jc w:val="center"/>
              <w:rPr>
                <w:rFonts w:cstheme="minorHAnsi"/>
                <w:color w:val="auto"/>
                <w:sz w:val="20"/>
                <w:szCs w:val="20"/>
              </w:rPr>
            </w:pPr>
            <w:r w:rsidRPr="004910D0">
              <w:rPr>
                <w:color w:val="auto"/>
                <w:sz w:val="20"/>
                <w:szCs w:val="20"/>
              </w:rPr>
              <w:t>87,300</w:t>
            </w:r>
          </w:p>
        </w:tc>
        <w:tc>
          <w:tcPr>
            <w:tcW w:w="1476" w:type="dxa"/>
          </w:tcPr>
          <w:p w14:paraId="584987F3" w14:textId="6644FC26" w:rsidR="004910D0" w:rsidRPr="004910D0" w:rsidRDefault="004910D0" w:rsidP="004910D0">
            <w:pPr>
              <w:pStyle w:val="Header"/>
              <w:jc w:val="center"/>
              <w:rPr>
                <w:rFonts w:cstheme="minorHAnsi"/>
                <w:color w:val="auto"/>
                <w:sz w:val="20"/>
                <w:szCs w:val="20"/>
              </w:rPr>
            </w:pPr>
            <w:r w:rsidRPr="004910D0">
              <w:rPr>
                <w:color w:val="auto"/>
                <w:sz w:val="20"/>
                <w:szCs w:val="20"/>
              </w:rPr>
              <w:t>4</w:t>
            </w:r>
          </w:p>
        </w:tc>
        <w:tc>
          <w:tcPr>
            <w:tcW w:w="1217" w:type="dxa"/>
          </w:tcPr>
          <w:p w14:paraId="17F14946" w14:textId="7F8A32D7" w:rsidR="004910D0" w:rsidRPr="004910D0" w:rsidRDefault="004910D0" w:rsidP="004910D0">
            <w:pPr>
              <w:pStyle w:val="Header"/>
              <w:jc w:val="center"/>
              <w:rPr>
                <w:rFonts w:cstheme="minorHAnsi"/>
                <w:color w:val="auto"/>
                <w:sz w:val="20"/>
                <w:szCs w:val="20"/>
              </w:rPr>
            </w:pPr>
            <w:r w:rsidRPr="004910D0">
              <w:rPr>
                <w:color w:val="auto"/>
                <w:sz w:val="20"/>
                <w:szCs w:val="20"/>
              </w:rPr>
              <w:t>21,825</w:t>
            </w:r>
          </w:p>
        </w:tc>
        <w:tc>
          <w:tcPr>
            <w:tcW w:w="1560" w:type="dxa"/>
          </w:tcPr>
          <w:p w14:paraId="1E94CDA9" w14:textId="73CD57AA" w:rsidR="004910D0" w:rsidRPr="004910D0" w:rsidRDefault="004910D0" w:rsidP="004910D0">
            <w:pPr>
              <w:pStyle w:val="Header"/>
              <w:jc w:val="center"/>
              <w:rPr>
                <w:rFonts w:cstheme="minorHAnsi"/>
                <w:color w:val="auto"/>
                <w:sz w:val="20"/>
                <w:szCs w:val="20"/>
              </w:rPr>
            </w:pPr>
            <w:r w:rsidRPr="004910D0">
              <w:rPr>
                <w:color w:val="auto"/>
                <w:sz w:val="20"/>
                <w:szCs w:val="20"/>
              </w:rPr>
              <w:t>+1,808</w:t>
            </w:r>
          </w:p>
        </w:tc>
        <w:tc>
          <w:tcPr>
            <w:tcW w:w="1665" w:type="dxa"/>
          </w:tcPr>
          <w:p w14:paraId="4DA28DF5" w14:textId="27A914D0" w:rsidR="004910D0" w:rsidRPr="004910D0" w:rsidRDefault="004910D0" w:rsidP="004910D0">
            <w:pPr>
              <w:pStyle w:val="Header"/>
              <w:jc w:val="center"/>
              <w:rPr>
                <w:rFonts w:cstheme="minorHAnsi"/>
                <w:color w:val="auto"/>
                <w:sz w:val="20"/>
                <w:szCs w:val="20"/>
              </w:rPr>
            </w:pPr>
            <w:r w:rsidRPr="004910D0">
              <w:rPr>
                <w:color w:val="auto"/>
                <w:sz w:val="20"/>
                <w:szCs w:val="20"/>
              </w:rPr>
              <w:t>+9.03</w:t>
            </w:r>
          </w:p>
        </w:tc>
      </w:tr>
      <w:tr w:rsidR="004910D0" w:rsidRPr="004A03D2" w14:paraId="398973BB" w14:textId="77777777" w:rsidTr="00717B82">
        <w:trPr>
          <w:jc w:val="center"/>
        </w:trPr>
        <w:tc>
          <w:tcPr>
            <w:tcW w:w="1789" w:type="dxa"/>
          </w:tcPr>
          <w:p w14:paraId="00E9596A" w14:textId="63EF6EE2" w:rsidR="004910D0" w:rsidRPr="004A03D2" w:rsidRDefault="004910D0" w:rsidP="004910D0">
            <w:pPr>
              <w:pStyle w:val="Header"/>
              <w:rPr>
                <w:rFonts w:cstheme="minorHAnsi"/>
                <w:color w:val="000000" w:themeColor="text1"/>
                <w:sz w:val="20"/>
              </w:rPr>
            </w:pPr>
            <w:proofErr w:type="spellStart"/>
            <w:r>
              <w:rPr>
                <w:rFonts w:cstheme="minorHAnsi"/>
                <w:color w:val="000000" w:themeColor="text1"/>
                <w:sz w:val="20"/>
              </w:rPr>
              <w:t>Horowhenua-Kairanga</w:t>
            </w:r>
            <w:proofErr w:type="spellEnd"/>
          </w:p>
        </w:tc>
        <w:tc>
          <w:tcPr>
            <w:tcW w:w="1276" w:type="dxa"/>
          </w:tcPr>
          <w:p w14:paraId="1317D927" w14:textId="1C903360" w:rsidR="004910D0" w:rsidRPr="004910D0" w:rsidRDefault="004910D0" w:rsidP="004910D0">
            <w:pPr>
              <w:pStyle w:val="Header"/>
              <w:jc w:val="center"/>
              <w:rPr>
                <w:rFonts w:cstheme="minorHAnsi"/>
                <w:color w:val="auto"/>
                <w:sz w:val="20"/>
                <w:szCs w:val="20"/>
              </w:rPr>
            </w:pPr>
            <w:r w:rsidRPr="004910D0">
              <w:rPr>
                <w:color w:val="auto"/>
                <w:sz w:val="20"/>
                <w:szCs w:val="20"/>
              </w:rPr>
              <w:t>40,300</w:t>
            </w:r>
          </w:p>
        </w:tc>
        <w:tc>
          <w:tcPr>
            <w:tcW w:w="1476" w:type="dxa"/>
          </w:tcPr>
          <w:p w14:paraId="14F27601" w14:textId="630FAC1C" w:rsidR="004910D0" w:rsidRPr="004910D0" w:rsidRDefault="004910D0" w:rsidP="004910D0">
            <w:pPr>
              <w:pStyle w:val="Header"/>
              <w:jc w:val="center"/>
              <w:rPr>
                <w:rFonts w:cstheme="minorHAnsi"/>
                <w:color w:val="auto"/>
                <w:sz w:val="20"/>
                <w:szCs w:val="20"/>
              </w:rPr>
            </w:pPr>
            <w:r w:rsidRPr="004910D0">
              <w:rPr>
                <w:color w:val="auto"/>
                <w:sz w:val="20"/>
                <w:szCs w:val="20"/>
              </w:rPr>
              <w:t>2</w:t>
            </w:r>
          </w:p>
        </w:tc>
        <w:tc>
          <w:tcPr>
            <w:tcW w:w="1217" w:type="dxa"/>
          </w:tcPr>
          <w:p w14:paraId="34A5B242" w14:textId="6B4A9DE3" w:rsidR="004910D0" w:rsidRPr="004910D0" w:rsidRDefault="004910D0" w:rsidP="004910D0">
            <w:pPr>
              <w:pStyle w:val="Header"/>
              <w:jc w:val="center"/>
              <w:rPr>
                <w:rFonts w:cstheme="minorHAnsi"/>
                <w:color w:val="auto"/>
                <w:sz w:val="20"/>
                <w:szCs w:val="20"/>
              </w:rPr>
            </w:pPr>
            <w:r w:rsidRPr="004910D0">
              <w:rPr>
                <w:color w:val="auto"/>
                <w:sz w:val="20"/>
                <w:szCs w:val="20"/>
              </w:rPr>
              <w:t>20,150</w:t>
            </w:r>
          </w:p>
        </w:tc>
        <w:tc>
          <w:tcPr>
            <w:tcW w:w="1560" w:type="dxa"/>
          </w:tcPr>
          <w:p w14:paraId="53B45E69" w14:textId="28980700" w:rsidR="004910D0" w:rsidRPr="004910D0" w:rsidRDefault="004910D0" w:rsidP="004910D0">
            <w:pPr>
              <w:pStyle w:val="Header"/>
              <w:jc w:val="center"/>
              <w:rPr>
                <w:rFonts w:cstheme="minorHAnsi"/>
                <w:color w:val="auto"/>
                <w:sz w:val="20"/>
                <w:szCs w:val="20"/>
              </w:rPr>
            </w:pPr>
            <w:r w:rsidRPr="004910D0">
              <w:rPr>
                <w:color w:val="auto"/>
                <w:sz w:val="20"/>
                <w:szCs w:val="20"/>
              </w:rPr>
              <w:t>+133</w:t>
            </w:r>
          </w:p>
        </w:tc>
        <w:tc>
          <w:tcPr>
            <w:tcW w:w="1665" w:type="dxa"/>
          </w:tcPr>
          <w:p w14:paraId="4996CED4" w14:textId="6B515673" w:rsidR="004910D0" w:rsidRPr="004910D0" w:rsidRDefault="004910D0" w:rsidP="004910D0">
            <w:pPr>
              <w:pStyle w:val="Header"/>
              <w:jc w:val="center"/>
              <w:rPr>
                <w:rFonts w:cstheme="minorHAnsi"/>
                <w:color w:val="auto"/>
                <w:sz w:val="20"/>
                <w:szCs w:val="20"/>
              </w:rPr>
            </w:pPr>
            <w:r w:rsidRPr="004910D0">
              <w:rPr>
                <w:color w:val="auto"/>
                <w:sz w:val="20"/>
                <w:szCs w:val="20"/>
              </w:rPr>
              <w:t>+0.66</w:t>
            </w:r>
          </w:p>
        </w:tc>
      </w:tr>
      <w:tr w:rsidR="004910D0" w:rsidRPr="004A03D2" w14:paraId="1B2786BB" w14:textId="77777777" w:rsidTr="00717B82">
        <w:trPr>
          <w:jc w:val="center"/>
        </w:trPr>
        <w:tc>
          <w:tcPr>
            <w:tcW w:w="1789" w:type="dxa"/>
          </w:tcPr>
          <w:p w14:paraId="6929A92B" w14:textId="38C5D9DE" w:rsidR="004910D0" w:rsidRDefault="004910D0" w:rsidP="004910D0">
            <w:pPr>
              <w:pStyle w:val="Header"/>
              <w:rPr>
                <w:rFonts w:cstheme="minorHAnsi"/>
                <w:color w:val="000000" w:themeColor="text1"/>
                <w:sz w:val="20"/>
              </w:rPr>
            </w:pPr>
            <w:proofErr w:type="spellStart"/>
            <w:r>
              <w:rPr>
                <w:rFonts w:cstheme="minorHAnsi"/>
                <w:color w:val="000000" w:themeColor="text1"/>
                <w:sz w:val="20"/>
              </w:rPr>
              <w:t>Tararua</w:t>
            </w:r>
            <w:proofErr w:type="spellEnd"/>
            <w:r>
              <w:rPr>
                <w:rFonts w:cstheme="minorHAnsi"/>
                <w:color w:val="000000" w:themeColor="text1"/>
                <w:sz w:val="20"/>
              </w:rPr>
              <w:t xml:space="preserve"> </w:t>
            </w:r>
          </w:p>
        </w:tc>
        <w:tc>
          <w:tcPr>
            <w:tcW w:w="1276" w:type="dxa"/>
          </w:tcPr>
          <w:p w14:paraId="7E4BC776" w14:textId="2A6E769C" w:rsidR="004910D0" w:rsidRPr="004910D0" w:rsidRDefault="004910D0" w:rsidP="004910D0">
            <w:pPr>
              <w:pStyle w:val="Header"/>
              <w:jc w:val="center"/>
              <w:rPr>
                <w:rFonts w:cstheme="minorHAnsi"/>
                <w:color w:val="auto"/>
                <w:sz w:val="20"/>
                <w:szCs w:val="20"/>
              </w:rPr>
            </w:pPr>
            <w:r w:rsidRPr="004910D0">
              <w:rPr>
                <w:color w:val="auto"/>
                <w:sz w:val="20"/>
                <w:szCs w:val="20"/>
              </w:rPr>
              <w:t>17,800</w:t>
            </w:r>
          </w:p>
        </w:tc>
        <w:tc>
          <w:tcPr>
            <w:tcW w:w="1476" w:type="dxa"/>
          </w:tcPr>
          <w:p w14:paraId="3C2FE8D6" w14:textId="6AC909D3" w:rsidR="004910D0" w:rsidRPr="004910D0" w:rsidRDefault="004910D0" w:rsidP="004910D0">
            <w:pPr>
              <w:pStyle w:val="Header"/>
              <w:jc w:val="center"/>
              <w:rPr>
                <w:rFonts w:cstheme="minorHAnsi"/>
                <w:color w:val="auto"/>
                <w:sz w:val="20"/>
                <w:szCs w:val="20"/>
              </w:rPr>
            </w:pPr>
            <w:r w:rsidRPr="004910D0">
              <w:rPr>
                <w:color w:val="auto"/>
                <w:sz w:val="20"/>
                <w:szCs w:val="20"/>
              </w:rPr>
              <w:t>1</w:t>
            </w:r>
          </w:p>
        </w:tc>
        <w:tc>
          <w:tcPr>
            <w:tcW w:w="1217" w:type="dxa"/>
          </w:tcPr>
          <w:p w14:paraId="15043409" w14:textId="3D8AC49C" w:rsidR="004910D0" w:rsidRPr="004910D0" w:rsidRDefault="004910D0" w:rsidP="004910D0">
            <w:pPr>
              <w:pStyle w:val="Header"/>
              <w:jc w:val="center"/>
              <w:rPr>
                <w:rFonts w:cstheme="minorHAnsi"/>
                <w:color w:val="auto"/>
                <w:sz w:val="20"/>
                <w:szCs w:val="20"/>
              </w:rPr>
            </w:pPr>
            <w:r w:rsidRPr="004910D0">
              <w:rPr>
                <w:color w:val="auto"/>
                <w:sz w:val="20"/>
                <w:szCs w:val="20"/>
              </w:rPr>
              <w:t>17,800</w:t>
            </w:r>
          </w:p>
        </w:tc>
        <w:tc>
          <w:tcPr>
            <w:tcW w:w="1560" w:type="dxa"/>
          </w:tcPr>
          <w:p w14:paraId="5D4CEC06" w14:textId="0FA57050" w:rsidR="004910D0" w:rsidRPr="004910D0" w:rsidRDefault="004910D0" w:rsidP="004910D0">
            <w:pPr>
              <w:pStyle w:val="Header"/>
              <w:jc w:val="center"/>
              <w:rPr>
                <w:rFonts w:cstheme="minorHAnsi"/>
                <w:color w:val="auto"/>
                <w:sz w:val="20"/>
                <w:szCs w:val="20"/>
              </w:rPr>
            </w:pPr>
            <w:r w:rsidRPr="004910D0">
              <w:rPr>
                <w:color w:val="auto"/>
                <w:sz w:val="20"/>
                <w:szCs w:val="20"/>
              </w:rPr>
              <w:t>-2,217</w:t>
            </w:r>
          </w:p>
        </w:tc>
        <w:tc>
          <w:tcPr>
            <w:tcW w:w="1665" w:type="dxa"/>
          </w:tcPr>
          <w:p w14:paraId="6B078934" w14:textId="1729E26A" w:rsidR="004910D0" w:rsidRPr="004910D0" w:rsidRDefault="004910D0" w:rsidP="004910D0">
            <w:pPr>
              <w:pStyle w:val="Header"/>
              <w:jc w:val="center"/>
              <w:rPr>
                <w:rFonts w:cstheme="minorHAnsi"/>
                <w:color w:val="auto"/>
                <w:sz w:val="20"/>
                <w:szCs w:val="20"/>
              </w:rPr>
            </w:pPr>
            <w:r w:rsidRPr="004910D0">
              <w:rPr>
                <w:color w:val="auto"/>
                <w:sz w:val="20"/>
                <w:szCs w:val="20"/>
              </w:rPr>
              <w:t>-11.0</w:t>
            </w:r>
            <w:r w:rsidR="00761743">
              <w:rPr>
                <w:color w:val="auto"/>
                <w:sz w:val="20"/>
                <w:szCs w:val="20"/>
              </w:rPr>
              <w:t>8</w:t>
            </w:r>
          </w:p>
        </w:tc>
      </w:tr>
      <w:tr w:rsidR="004910D0" w:rsidRPr="004A03D2" w14:paraId="0074C881" w14:textId="77777777" w:rsidTr="00717B82">
        <w:trPr>
          <w:jc w:val="center"/>
        </w:trPr>
        <w:tc>
          <w:tcPr>
            <w:tcW w:w="1789" w:type="dxa"/>
          </w:tcPr>
          <w:p w14:paraId="56686AB5" w14:textId="77777777" w:rsidR="004910D0" w:rsidRPr="004A03D2" w:rsidRDefault="004910D0" w:rsidP="004910D0">
            <w:pPr>
              <w:pStyle w:val="Header"/>
              <w:rPr>
                <w:rFonts w:cstheme="minorHAnsi"/>
                <w:color w:val="000000" w:themeColor="text1"/>
                <w:sz w:val="20"/>
              </w:rPr>
            </w:pPr>
            <w:r w:rsidRPr="004A03D2">
              <w:rPr>
                <w:rFonts w:cstheme="minorHAnsi"/>
                <w:b/>
                <w:color w:val="000000" w:themeColor="text1"/>
                <w:sz w:val="20"/>
              </w:rPr>
              <w:t>Total</w:t>
            </w:r>
          </w:p>
        </w:tc>
        <w:tc>
          <w:tcPr>
            <w:tcW w:w="1276" w:type="dxa"/>
          </w:tcPr>
          <w:p w14:paraId="7ED2731F" w14:textId="1AA5F61C" w:rsidR="004910D0" w:rsidRPr="004910D0" w:rsidRDefault="004910D0" w:rsidP="004910D0">
            <w:pPr>
              <w:pStyle w:val="Header"/>
              <w:jc w:val="center"/>
              <w:rPr>
                <w:rFonts w:cstheme="minorHAnsi"/>
                <w:b/>
                <w:color w:val="auto"/>
                <w:sz w:val="20"/>
                <w:szCs w:val="20"/>
              </w:rPr>
            </w:pPr>
            <w:r w:rsidRPr="004910D0">
              <w:rPr>
                <w:b/>
                <w:color w:val="auto"/>
                <w:sz w:val="20"/>
                <w:szCs w:val="20"/>
              </w:rPr>
              <w:t>240,200</w:t>
            </w:r>
          </w:p>
        </w:tc>
        <w:tc>
          <w:tcPr>
            <w:tcW w:w="1476" w:type="dxa"/>
          </w:tcPr>
          <w:p w14:paraId="6A977681" w14:textId="6BDF4106" w:rsidR="004910D0" w:rsidRPr="004910D0" w:rsidRDefault="004910D0" w:rsidP="004910D0">
            <w:pPr>
              <w:pStyle w:val="Header"/>
              <w:jc w:val="center"/>
              <w:rPr>
                <w:rFonts w:cstheme="minorHAnsi"/>
                <w:b/>
                <w:color w:val="auto"/>
                <w:sz w:val="20"/>
                <w:szCs w:val="20"/>
              </w:rPr>
            </w:pPr>
            <w:r w:rsidRPr="004910D0">
              <w:rPr>
                <w:b/>
                <w:color w:val="auto"/>
                <w:sz w:val="20"/>
                <w:szCs w:val="20"/>
              </w:rPr>
              <w:t>12</w:t>
            </w:r>
          </w:p>
        </w:tc>
        <w:tc>
          <w:tcPr>
            <w:tcW w:w="1217" w:type="dxa"/>
          </w:tcPr>
          <w:p w14:paraId="4FAA11A6" w14:textId="6ECE6D80" w:rsidR="004910D0" w:rsidRPr="004910D0" w:rsidRDefault="004910D0" w:rsidP="004910D0">
            <w:pPr>
              <w:pStyle w:val="Header"/>
              <w:jc w:val="center"/>
              <w:rPr>
                <w:rFonts w:cstheme="minorHAnsi"/>
                <w:b/>
                <w:color w:val="auto"/>
                <w:sz w:val="20"/>
                <w:szCs w:val="20"/>
              </w:rPr>
            </w:pPr>
            <w:r w:rsidRPr="004910D0">
              <w:rPr>
                <w:b/>
                <w:color w:val="auto"/>
                <w:sz w:val="20"/>
                <w:szCs w:val="20"/>
              </w:rPr>
              <w:t>20,017</w:t>
            </w:r>
          </w:p>
        </w:tc>
        <w:tc>
          <w:tcPr>
            <w:tcW w:w="1560" w:type="dxa"/>
          </w:tcPr>
          <w:p w14:paraId="4A73DE87" w14:textId="77777777" w:rsidR="004910D0" w:rsidRPr="004910D0" w:rsidRDefault="004910D0" w:rsidP="004910D0">
            <w:pPr>
              <w:pStyle w:val="Header"/>
              <w:jc w:val="center"/>
              <w:rPr>
                <w:rFonts w:cstheme="minorHAnsi"/>
                <w:b/>
                <w:color w:val="auto"/>
                <w:sz w:val="20"/>
                <w:szCs w:val="20"/>
              </w:rPr>
            </w:pPr>
          </w:p>
        </w:tc>
        <w:tc>
          <w:tcPr>
            <w:tcW w:w="1665" w:type="dxa"/>
          </w:tcPr>
          <w:p w14:paraId="5A2CB6FC" w14:textId="77777777" w:rsidR="004910D0" w:rsidRPr="004910D0" w:rsidRDefault="004910D0" w:rsidP="004910D0">
            <w:pPr>
              <w:pStyle w:val="Header"/>
              <w:jc w:val="center"/>
              <w:rPr>
                <w:rFonts w:cstheme="minorHAnsi"/>
                <w:b/>
                <w:color w:val="auto"/>
                <w:sz w:val="20"/>
                <w:szCs w:val="20"/>
              </w:rPr>
            </w:pPr>
          </w:p>
        </w:tc>
      </w:tr>
    </w:tbl>
    <w:p w14:paraId="1B3CA002" w14:textId="77777777" w:rsidR="00BE3E5C" w:rsidRPr="004A03D2" w:rsidRDefault="00BE3E5C" w:rsidP="00BE3E5C">
      <w:pPr>
        <w:pStyle w:val="Header"/>
        <w:spacing w:after="120"/>
        <w:ind w:left="567" w:hanging="141"/>
        <w:rPr>
          <w:rFonts w:cstheme="minorHAnsi"/>
          <w:color w:val="000000" w:themeColor="text1"/>
          <w:sz w:val="20"/>
        </w:rPr>
      </w:pPr>
      <w:r w:rsidRPr="004A03D2">
        <w:rPr>
          <w:rFonts w:cstheme="minorHAnsi"/>
          <w:color w:val="000000" w:themeColor="text1"/>
          <w:sz w:val="20"/>
        </w:rPr>
        <w:t xml:space="preserve">* These </w:t>
      </w:r>
      <w:r>
        <w:rPr>
          <w:rFonts w:cstheme="minorHAnsi"/>
          <w:color w:val="000000" w:themeColor="text1"/>
          <w:sz w:val="20"/>
        </w:rPr>
        <w:t xml:space="preserve">figures </w:t>
      </w:r>
      <w:r w:rsidRPr="004A03D2">
        <w:rPr>
          <w:rFonts w:cstheme="minorHAnsi"/>
          <w:color w:val="000000" w:themeColor="text1"/>
          <w:sz w:val="20"/>
        </w:rPr>
        <w:t>are 201</w:t>
      </w:r>
      <w:r>
        <w:rPr>
          <w:rFonts w:cstheme="minorHAnsi"/>
          <w:color w:val="000000" w:themeColor="text1"/>
          <w:sz w:val="20"/>
        </w:rPr>
        <w:t>7</w:t>
      </w:r>
      <w:r w:rsidRPr="004A03D2">
        <w:rPr>
          <w:rFonts w:cstheme="minorHAnsi"/>
          <w:color w:val="000000" w:themeColor="text1"/>
          <w:sz w:val="20"/>
        </w:rPr>
        <w:t xml:space="preserve"> population estimates</w:t>
      </w:r>
    </w:p>
    <w:p w14:paraId="7FD32778" w14:textId="6750AA6D" w:rsidR="00BE3E5C" w:rsidRPr="004B6B4A" w:rsidRDefault="00BE3E5C" w:rsidP="00BE3E5C">
      <w:pPr>
        <w:pStyle w:val="ListParagraph"/>
        <w:keepLines/>
        <w:numPr>
          <w:ilvl w:val="0"/>
          <w:numId w:val="25"/>
        </w:numPr>
        <w:spacing w:after="120" w:line="240" w:lineRule="auto"/>
        <w:ind w:hanging="720"/>
        <w:rPr>
          <w:rFonts w:cstheme="minorHAnsi"/>
          <w:sz w:val="24"/>
          <w:szCs w:val="24"/>
        </w:rPr>
      </w:pPr>
      <w:r w:rsidRPr="004B6B4A">
        <w:rPr>
          <w:rFonts w:cstheme="minorHAnsi"/>
          <w:sz w:val="24"/>
          <w:szCs w:val="24"/>
        </w:rPr>
        <w:t xml:space="preserve">The council notified its initial proposal on </w:t>
      </w:r>
      <w:r w:rsidR="00761743">
        <w:rPr>
          <w:rFonts w:cstheme="minorHAnsi"/>
          <w:sz w:val="24"/>
          <w:szCs w:val="24"/>
        </w:rPr>
        <w:t>10</w:t>
      </w:r>
      <w:r w:rsidRPr="004B6B4A">
        <w:rPr>
          <w:rFonts w:cstheme="minorHAnsi"/>
          <w:sz w:val="24"/>
          <w:szCs w:val="24"/>
        </w:rPr>
        <w:t xml:space="preserve"> A</w:t>
      </w:r>
      <w:r w:rsidR="00761743">
        <w:rPr>
          <w:rFonts w:cstheme="minorHAnsi"/>
          <w:sz w:val="24"/>
          <w:szCs w:val="24"/>
        </w:rPr>
        <w:t>pril</w:t>
      </w:r>
      <w:r w:rsidRPr="004B6B4A">
        <w:rPr>
          <w:rFonts w:cstheme="minorHAnsi"/>
          <w:sz w:val="24"/>
          <w:szCs w:val="24"/>
        </w:rPr>
        <w:t xml:space="preserve"> 2018 and invited submissions by </w:t>
      </w:r>
      <w:r w:rsidR="00761743">
        <w:rPr>
          <w:rFonts w:cstheme="minorHAnsi"/>
          <w:sz w:val="24"/>
          <w:szCs w:val="24"/>
        </w:rPr>
        <w:t>14 May</w:t>
      </w:r>
      <w:r w:rsidRPr="004B6B4A">
        <w:rPr>
          <w:rFonts w:cstheme="minorHAnsi"/>
          <w:sz w:val="24"/>
          <w:szCs w:val="24"/>
        </w:rPr>
        <w:t xml:space="preserve"> 2018. In doing so it acknowledged that three of the six proposed constituencies were outside the statutory +/-10% fair representation requirement.</w:t>
      </w:r>
    </w:p>
    <w:p w14:paraId="629E1B84" w14:textId="1EB4EE3D" w:rsidR="00BE3E5C" w:rsidRPr="004B6B4A" w:rsidRDefault="00BE3E5C" w:rsidP="00BE3E5C">
      <w:pPr>
        <w:pStyle w:val="ListParagraph"/>
        <w:keepLines/>
        <w:numPr>
          <w:ilvl w:val="0"/>
          <w:numId w:val="25"/>
        </w:numPr>
        <w:spacing w:after="120" w:line="240" w:lineRule="auto"/>
        <w:ind w:hanging="720"/>
        <w:rPr>
          <w:rFonts w:cstheme="minorHAnsi"/>
          <w:sz w:val="24"/>
          <w:szCs w:val="24"/>
        </w:rPr>
      </w:pPr>
      <w:r w:rsidRPr="004B6B4A">
        <w:rPr>
          <w:rFonts w:cstheme="minorHAnsi"/>
          <w:sz w:val="24"/>
          <w:szCs w:val="24"/>
        </w:rPr>
        <w:t xml:space="preserve">The council received </w:t>
      </w:r>
      <w:r w:rsidR="00761743">
        <w:rPr>
          <w:rFonts w:cstheme="minorHAnsi"/>
          <w:sz w:val="24"/>
          <w:szCs w:val="24"/>
        </w:rPr>
        <w:t>thre</w:t>
      </w:r>
      <w:r w:rsidRPr="004B6B4A">
        <w:rPr>
          <w:rFonts w:cstheme="minorHAnsi"/>
          <w:sz w:val="24"/>
          <w:szCs w:val="24"/>
        </w:rPr>
        <w:t xml:space="preserve">e submissions. </w:t>
      </w:r>
      <w:r w:rsidR="00761743">
        <w:rPr>
          <w:rFonts w:cstheme="minorHAnsi"/>
          <w:sz w:val="24"/>
          <w:szCs w:val="24"/>
        </w:rPr>
        <w:t>One</w:t>
      </w:r>
      <w:r w:rsidRPr="004B6B4A">
        <w:rPr>
          <w:rFonts w:cstheme="minorHAnsi"/>
          <w:sz w:val="24"/>
          <w:szCs w:val="24"/>
        </w:rPr>
        <w:t xml:space="preserve"> submission</w:t>
      </w:r>
      <w:r w:rsidR="00761743">
        <w:rPr>
          <w:rFonts w:cstheme="minorHAnsi"/>
          <w:sz w:val="24"/>
          <w:szCs w:val="24"/>
        </w:rPr>
        <w:t xml:space="preserve"> </w:t>
      </w:r>
      <w:r w:rsidRPr="004B6B4A">
        <w:rPr>
          <w:rFonts w:cstheme="minorHAnsi"/>
          <w:sz w:val="24"/>
          <w:szCs w:val="24"/>
        </w:rPr>
        <w:t>s</w:t>
      </w:r>
      <w:r w:rsidR="00761743">
        <w:rPr>
          <w:rFonts w:cstheme="minorHAnsi"/>
          <w:sz w:val="24"/>
          <w:szCs w:val="24"/>
        </w:rPr>
        <w:t>upported the proposal and two sought different constituency arrangements</w:t>
      </w:r>
      <w:r w:rsidRPr="004B6B4A">
        <w:rPr>
          <w:rFonts w:cstheme="minorHAnsi"/>
          <w:sz w:val="24"/>
          <w:szCs w:val="24"/>
        </w:rPr>
        <w:t>.</w:t>
      </w:r>
    </w:p>
    <w:p w14:paraId="6692955B" w14:textId="6FF13404" w:rsidR="00BE3E5C" w:rsidRPr="004B6B4A" w:rsidRDefault="00BE3E5C" w:rsidP="00BE3E5C">
      <w:pPr>
        <w:pStyle w:val="ListParagraph"/>
        <w:keepLines/>
        <w:numPr>
          <w:ilvl w:val="0"/>
          <w:numId w:val="25"/>
        </w:numPr>
        <w:spacing w:after="120" w:line="240" w:lineRule="auto"/>
        <w:ind w:hanging="720"/>
        <w:rPr>
          <w:rFonts w:cstheme="minorHAnsi"/>
          <w:sz w:val="24"/>
          <w:szCs w:val="24"/>
        </w:rPr>
      </w:pPr>
      <w:r w:rsidRPr="004B6B4A">
        <w:rPr>
          <w:rFonts w:cstheme="minorHAnsi"/>
          <w:sz w:val="24"/>
          <w:szCs w:val="24"/>
        </w:rPr>
        <w:t xml:space="preserve">At a meeting on </w:t>
      </w:r>
      <w:r w:rsidR="00761743">
        <w:rPr>
          <w:rFonts w:cstheme="minorHAnsi"/>
          <w:sz w:val="24"/>
          <w:szCs w:val="24"/>
        </w:rPr>
        <w:t>20</w:t>
      </w:r>
      <w:r w:rsidRPr="004B6B4A">
        <w:rPr>
          <w:rFonts w:cstheme="minorHAnsi"/>
          <w:sz w:val="24"/>
          <w:szCs w:val="24"/>
        </w:rPr>
        <w:t xml:space="preserve"> </w:t>
      </w:r>
      <w:r w:rsidR="00761743">
        <w:rPr>
          <w:rFonts w:cstheme="minorHAnsi"/>
          <w:sz w:val="24"/>
          <w:szCs w:val="24"/>
        </w:rPr>
        <w:t>J</w:t>
      </w:r>
      <w:r w:rsidRPr="004B6B4A">
        <w:rPr>
          <w:rFonts w:cstheme="minorHAnsi"/>
          <w:sz w:val="24"/>
          <w:szCs w:val="24"/>
        </w:rPr>
        <w:t>u</w:t>
      </w:r>
      <w:r w:rsidR="00761743">
        <w:rPr>
          <w:rFonts w:cstheme="minorHAnsi"/>
          <w:sz w:val="24"/>
          <w:szCs w:val="24"/>
        </w:rPr>
        <w:t>ne</w:t>
      </w:r>
      <w:r w:rsidRPr="004B6B4A">
        <w:rPr>
          <w:rFonts w:cstheme="minorHAnsi"/>
          <w:sz w:val="24"/>
          <w:szCs w:val="24"/>
        </w:rPr>
        <w:t xml:space="preserve"> 2018, the council, after considering the submissions received, resolved to adopt its initial proposal as its final representation proposal.</w:t>
      </w:r>
    </w:p>
    <w:p w14:paraId="2078AE4F" w14:textId="2A0060FD" w:rsidR="00BE3E5C" w:rsidRPr="004B6B4A" w:rsidRDefault="00BE3E5C" w:rsidP="00BE3E5C">
      <w:pPr>
        <w:pStyle w:val="ListParagraph"/>
        <w:keepLines/>
        <w:numPr>
          <w:ilvl w:val="0"/>
          <w:numId w:val="25"/>
        </w:numPr>
        <w:spacing w:after="120" w:line="240" w:lineRule="auto"/>
        <w:ind w:hanging="720"/>
        <w:rPr>
          <w:rFonts w:cstheme="minorHAnsi"/>
          <w:sz w:val="24"/>
          <w:szCs w:val="24"/>
        </w:rPr>
      </w:pPr>
      <w:r w:rsidRPr="004B6B4A">
        <w:rPr>
          <w:rFonts w:cstheme="minorHAnsi"/>
          <w:sz w:val="24"/>
          <w:szCs w:val="24"/>
        </w:rPr>
        <w:t xml:space="preserve">The council notified its final proposal on </w:t>
      </w:r>
      <w:r w:rsidR="00AA5C7B">
        <w:rPr>
          <w:rFonts w:cstheme="minorHAnsi"/>
          <w:sz w:val="24"/>
          <w:szCs w:val="24"/>
        </w:rPr>
        <w:t>2</w:t>
      </w:r>
      <w:r w:rsidR="00654145">
        <w:rPr>
          <w:rFonts w:cstheme="minorHAnsi"/>
          <w:sz w:val="24"/>
          <w:szCs w:val="24"/>
        </w:rPr>
        <w:t>3</w:t>
      </w:r>
      <w:r w:rsidR="00AA5C7B">
        <w:rPr>
          <w:rFonts w:cstheme="minorHAnsi"/>
          <w:sz w:val="24"/>
          <w:szCs w:val="24"/>
        </w:rPr>
        <w:t xml:space="preserve"> June</w:t>
      </w:r>
      <w:r w:rsidRPr="004B6B4A">
        <w:rPr>
          <w:rFonts w:cstheme="minorHAnsi"/>
          <w:sz w:val="24"/>
          <w:szCs w:val="24"/>
        </w:rPr>
        <w:t xml:space="preserve"> 2018, including advice of the non-compliance of three </w:t>
      </w:r>
      <w:r w:rsidR="00654145">
        <w:rPr>
          <w:rFonts w:cstheme="minorHAnsi"/>
          <w:sz w:val="24"/>
          <w:szCs w:val="24"/>
        </w:rPr>
        <w:t xml:space="preserve">proposed </w:t>
      </w:r>
      <w:r w:rsidRPr="004B6B4A">
        <w:rPr>
          <w:rFonts w:cstheme="minorHAnsi"/>
          <w:sz w:val="24"/>
          <w:szCs w:val="24"/>
        </w:rPr>
        <w:t xml:space="preserve">constituencies with the statutory fair representation requirement, and invited appeals by </w:t>
      </w:r>
      <w:r w:rsidR="00AA5C7B">
        <w:rPr>
          <w:rFonts w:cstheme="minorHAnsi"/>
          <w:sz w:val="24"/>
          <w:szCs w:val="24"/>
        </w:rPr>
        <w:t>23 July</w:t>
      </w:r>
      <w:r w:rsidRPr="004B6B4A">
        <w:rPr>
          <w:rFonts w:cstheme="minorHAnsi"/>
          <w:sz w:val="24"/>
          <w:szCs w:val="24"/>
        </w:rPr>
        <w:t xml:space="preserve"> 2018. </w:t>
      </w:r>
    </w:p>
    <w:p w14:paraId="03F1EA85" w14:textId="77E4CB7F" w:rsidR="00BE3E5C" w:rsidRPr="00005CC6" w:rsidRDefault="00BE3E5C" w:rsidP="00BE3E5C">
      <w:pPr>
        <w:pStyle w:val="ListParagraph"/>
        <w:keepLines/>
        <w:numPr>
          <w:ilvl w:val="0"/>
          <w:numId w:val="25"/>
        </w:numPr>
        <w:spacing w:after="120" w:line="240" w:lineRule="auto"/>
        <w:ind w:hanging="720"/>
        <w:rPr>
          <w:rFonts w:cstheme="minorHAnsi"/>
          <w:sz w:val="24"/>
          <w:szCs w:val="24"/>
        </w:rPr>
      </w:pPr>
      <w:r w:rsidRPr="00005CC6">
        <w:rPr>
          <w:rFonts w:cstheme="minorHAnsi"/>
          <w:sz w:val="24"/>
          <w:szCs w:val="24"/>
        </w:rPr>
        <w:t>Given the non-compliance of three proposed constituencies, the council was required under section 19</w:t>
      </w:r>
      <w:proofErr w:type="gramStart"/>
      <w:r w:rsidRPr="00005CC6">
        <w:rPr>
          <w:rFonts w:cstheme="minorHAnsi"/>
          <w:sz w:val="24"/>
          <w:szCs w:val="24"/>
        </w:rPr>
        <w:t>V(</w:t>
      </w:r>
      <w:proofErr w:type="gramEnd"/>
      <w:r w:rsidRPr="00005CC6">
        <w:rPr>
          <w:rFonts w:cstheme="minorHAnsi"/>
          <w:sz w:val="24"/>
          <w:szCs w:val="24"/>
        </w:rPr>
        <w:t>4) of the Act to refer its proposal to the Commission  for determination.</w:t>
      </w:r>
      <w:r w:rsidR="00005CC6" w:rsidRPr="00005CC6">
        <w:rPr>
          <w:rFonts w:cstheme="minorHAnsi"/>
          <w:sz w:val="24"/>
          <w:szCs w:val="24"/>
        </w:rPr>
        <w:t xml:space="preserve"> </w:t>
      </w:r>
      <w:r w:rsidRPr="00005CC6">
        <w:rPr>
          <w:rFonts w:cstheme="minorHAnsi"/>
          <w:sz w:val="24"/>
          <w:szCs w:val="24"/>
        </w:rPr>
        <w:t xml:space="preserve">In addition, two appeals </w:t>
      </w:r>
      <w:r w:rsidR="00654145">
        <w:rPr>
          <w:rFonts w:cstheme="minorHAnsi"/>
          <w:sz w:val="24"/>
          <w:szCs w:val="24"/>
        </w:rPr>
        <w:t xml:space="preserve">against the proposal </w:t>
      </w:r>
      <w:r w:rsidRPr="00005CC6">
        <w:rPr>
          <w:rFonts w:cstheme="minorHAnsi"/>
          <w:sz w:val="24"/>
          <w:szCs w:val="24"/>
        </w:rPr>
        <w:t>were received</w:t>
      </w:r>
      <w:r w:rsidR="00005CC6">
        <w:rPr>
          <w:rFonts w:cstheme="minorHAnsi"/>
          <w:sz w:val="24"/>
          <w:szCs w:val="24"/>
        </w:rPr>
        <w:t>.</w:t>
      </w:r>
    </w:p>
    <w:p w14:paraId="28CA4799" w14:textId="536A5EA1" w:rsidR="00BE3E5C" w:rsidRPr="00005CC6" w:rsidRDefault="00005CC6" w:rsidP="00BE3E5C">
      <w:pPr>
        <w:spacing w:after="120"/>
        <w:rPr>
          <w:rFonts w:cstheme="minorHAnsi"/>
          <w:b/>
          <w:sz w:val="28"/>
          <w:szCs w:val="28"/>
        </w:rPr>
      </w:pPr>
      <w:r>
        <w:rPr>
          <w:rFonts w:cstheme="minorHAnsi"/>
          <w:b/>
          <w:sz w:val="28"/>
          <w:szCs w:val="28"/>
        </w:rPr>
        <w:t>A</w:t>
      </w:r>
      <w:r w:rsidRPr="00005CC6">
        <w:rPr>
          <w:rFonts w:cstheme="minorHAnsi"/>
          <w:b/>
          <w:sz w:val="28"/>
          <w:szCs w:val="28"/>
        </w:rPr>
        <w:t>ppeals</w:t>
      </w:r>
      <w:r>
        <w:rPr>
          <w:rFonts w:cstheme="minorHAnsi"/>
          <w:b/>
          <w:sz w:val="28"/>
          <w:szCs w:val="28"/>
        </w:rPr>
        <w:t xml:space="preserve"> against council’s final proposal</w:t>
      </w:r>
    </w:p>
    <w:p w14:paraId="6619A0FA" w14:textId="7CAF5989" w:rsidR="00005CC6" w:rsidRDefault="00005CC6" w:rsidP="00BE3E5C">
      <w:pPr>
        <w:pStyle w:val="ListParagraph"/>
        <w:numPr>
          <w:ilvl w:val="0"/>
          <w:numId w:val="25"/>
        </w:numPr>
        <w:spacing w:before="120" w:after="120" w:line="240" w:lineRule="auto"/>
        <w:ind w:hanging="720"/>
        <w:rPr>
          <w:rFonts w:cstheme="minorHAnsi"/>
          <w:sz w:val="24"/>
          <w:szCs w:val="24"/>
        </w:rPr>
      </w:pPr>
      <w:r>
        <w:rPr>
          <w:rFonts w:cstheme="minorHAnsi"/>
          <w:sz w:val="24"/>
          <w:szCs w:val="24"/>
        </w:rPr>
        <w:t>Appeals against the council’s final proposal were received from:</w:t>
      </w:r>
    </w:p>
    <w:p w14:paraId="789B545D" w14:textId="7FB6C850" w:rsidR="00005CC6" w:rsidRPr="004B6B4A" w:rsidRDefault="00005CC6" w:rsidP="00005CC6">
      <w:pPr>
        <w:pStyle w:val="ListParagraph"/>
        <w:keepLines/>
        <w:numPr>
          <w:ilvl w:val="1"/>
          <w:numId w:val="32"/>
        </w:numPr>
        <w:spacing w:after="120" w:line="240" w:lineRule="auto"/>
        <w:rPr>
          <w:rFonts w:cstheme="minorHAnsi"/>
          <w:sz w:val="24"/>
          <w:szCs w:val="24"/>
        </w:rPr>
      </w:pPr>
      <w:r w:rsidRPr="00654145">
        <w:rPr>
          <w:rFonts w:cstheme="minorHAnsi"/>
          <w:i/>
          <w:sz w:val="24"/>
          <w:szCs w:val="24"/>
        </w:rPr>
        <w:t>Mark Chilcott</w:t>
      </w:r>
      <w:r w:rsidRPr="004B6B4A">
        <w:rPr>
          <w:rFonts w:cstheme="minorHAnsi"/>
          <w:sz w:val="24"/>
          <w:szCs w:val="24"/>
        </w:rPr>
        <w:t xml:space="preserve">: </w:t>
      </w:r>
      <w:r w:rsidR="00654145">
        <w:rPr>
          <w:rFonts w:cstheme="minorHAnsi"/>
          <w:sz w:val="24"/>
          <w:szCs w:val="24"/>
        </w:rPr>
        <w:t xml:space="preserve">who </w:t>
      </w:r>
      <w:r w:rsidRPr="004B6B4A">
        <w:rPr>
          <w:rFonts w:cstheme="minorHAnsi"/>
          <w:sz w:val="24"/>
          <w:szCs w:val="24"/>
        </w:rPr>
        <w:t>s</w:t>
      </w:r>
      <w:r w:rsidR="00654145">
        <w:rPr>
          <w:rFonts w:cstheme="minorHAnsi"/>
          <w:sz w:val="24"/>
          <w:szCs w:val="24"/>
        </w:rPr>
        <w:t>ought</w:t>
      </w:r>
      <w:r w:rsidRPr="004B6B4A">
        <w:rPr>
          <w:rFonts w:cstheme="minorHAnsi"/>
          <w:sz w:val="24"/>
          <w:szCs w:val="24"/>
        </w:rPr>
        <w:t xml:space="preserve"> </w:t>
      </w:r>
      <w:r>
        <w:rPr>
          <w:rFonts w:cstheme="minorHAnsi"/>
          <w:sz w:val="24"/>
          <w:szCs w:val="24"/>
        </w:rPr>
        <w:t>equality in the value of electors’ votes across the region; compliance with fair representation requirements and a combination of boundary changes alo</w:t>
      </w:r>
      <w:r w:rsidRPr="004B6B4A">
        <w:rPr>
          <w:rFonts w:cstheme="minorHAnsi"/>
          <w:sz w:val="24"/>
          <w:szCs w:val="24"/>
        </w:rPr>
        <w:t>n</w:t>
      </w:r>
      <w:r>
        <w:rPr>
          <w:rFonts w:cstheme="minorHAnsi"/>
          <w:sz w:val="24"/>
          <w:szCs w:val="24"/>
        </w:rPr>
        <w:t>g with an</w:t>
      </w:r>
      <w:r w:rsidRPr="004B6B4A">
        <w:rPr>
          <w:rFonts w:cstheme="minorHAnsi"/>
          <w:sz w:val="24"/>
          <w:szCs w:val="24"/>
        </w:rPr>
        <w:t xml:space="preserve"> increase </w:t>
      </w:r>
      <w:r>
        <w:rPr>
          <w:rFonts w:cstheme="minorHAnsi"/>
          <w:sz w:val="24"/>
          <w:szCs w:val="24"/>
        </w:rPr>
        <w:t>in</w:t>
      </w:r>
      <w:r w:rsidRPr="004B6B4A">
        <w:rPr>
          <w:rFonts w:cstheme="minorHAnsi"/>
          <w:sz w:val="24"/>
          <w:szCs w:val="24"/>
        </w:rPr>
        <w:t xml:space="preserve"> t</w:t>
      </w:r>
      <w:r>
        <w:rPr>
          <w:rFonts w:cstheme="minorHAnsi"/>
          <w:sz w:val="24"/>
          <w:szCs w:val="24"/>
        </w:rPr>
        <w:t xml:space="preserve">he number </w:t>
      </w:r>
      <w:r w:rsidRPr="004B6B4A">
        <w:rPr>
          <w:rFonts w:cstheme="minorHAnsi"/>
          <w:sz w:val="24"/>
          <w:szCs w:val="24"/>
        </w:rPr>
        <w:t>o</w:t>
      </w:r>
      <w:r>
        <w:rPr>
          <w:rFonts w:cstheme="minorHAnsi"/>
          <w:sz w:val="24"/>
          <w:szCs w:val="24"/>
        </w:rPr>
        <w:t>f</w:t>
      </w:r>
      <w:r w:rsidRPr="004B6B4A">
        <w:rPr>
          <w:rFonts w:cstheme="minorHAnsi"/>
          <w:sz w:val="24"/>
          <w:szCs w:val="24"/>
        </w:rPr>
        <w:t xml:space="preserve"> </w:t>
      </w:r>
      <w:proofErr w:type="spellStart"/>
      <w:r w:rsidRPr="004B6B4A">
        <w:rPr>
          <w:rFonts w:cstheme="minorHAnsi"/>
          <w:sz w:val="24"/>
          <w:szCs w:val="24"/>
        </w:rPr>
        <w:t>councillors</w:t>
      </w:r>
      <w:proofErr w:type="spellEnd"/>
      <w:r w:rsidRPr="004B6B4A">
        <w:rPr>
          <w:rFonts w:cstheme="minorHAnsi"/>
          <w:sz w:val="24"/>
          <w:szCs w:val="24"/>
        </w:rPr>
        <w:t xml:space="preserve"> </w:t>
      </w:r>
      <w:r>
        <w:rPr>
          <w:rFonts w:cstheme="minorHAnsi"/>
          <w:sz w:val="24"/>
          <w:szCs w:val="24"/>
        </w:rPr>
        <w:t>t</w:t>
      </w:r>
      <w:r w:rsidRPr="004B6B4A">
        <w:rPr>
          <w:rFonts w:cstheme="minorHAnsi"/>
          <w:sz w:val="24"/>
          <w:szCs w:val="24"/>
        </w:rPr>
        <w:t>o</w:t>
      </w:r>
      <w:r>
        <w:rPr>
          <w:rFonts w:cstheme="minorHAnsi"/>
          <w:sz w:val="24"/>
          <w:szCs w:val="24"/>
        </w:rPr>
        <w:t xml:space="preserve"> 14; </w:t>
      </w:r>
      <w:proofErr w:type="gramStart"/>
      <w:r>
        <w:rPr>
          <w:rFonts w:cstheme="minorHAnsi"/>
          <w:sz w:val="24"/>
          <w:szCs w:val="24"/>
        </w:rPr>
        <w:t>and also</w:t>
      </w:r>
      <w:proofErr w:type="gramEnd"/>
      <w:r>
        <w:rPr>
          <w:rFonts w:cstheme="minorHAnsi"/>
          <w:sz w:val="24"/>
          <w:szCs w:val="24"/>
        </w:rPr>
        <w:t xml:space="preserve"> enhanced representation for Levin and Feilding</w:t>
      </w:r>
      <w:r w:rsidRPr="004B6B4A">
        <w:rPr>
          <w:rFonts w:cstheme="minorHAnsi"/>
          <w:sz w:val="24"/>
          <w:szCs w:val="24"/>
        </w:rPr>
        <w:t xml:space="preserve"> </w:t>
      </w:r>
    </w:p>
    <w:p w14:paraId="35092665" w14:textId="682F50BA" w:rsidR="008B052B" w:rsidRDefault="00005CC6" w:rsidP="008B052B">
      <w:pPr>
        <w:pStyle w:val="ListParagraph"/>
        <w:keepLines/>
        <w:numPr>
          <w:ilvl w:val="1"/>
          <w:numId w:val="32"/>
        </w:numPr>
        <w:spacing w:after="120" w:line="240" w:lineRule="auto"/>
        <w:rPr>
          <w:rFonts w:cstheme="minorHAnsi"/>
          <w:sz w:val="24"/>
          <w:szCs w:val="24"/>
        </w:rPr>
      </w:pPr>
      <w:r w:rsidRPr="00654145">
        <w:rPr>
          <w:rFonts w:cstheme="minorHAnsi"/>
          <w:i/>
          <w:sz w:val="24"/>
          <w:szCs w:val="24"/>
        </w:rPr>
        <w:t>Adam Canning</w:t>
      </w:r>
      <w:r w:rsidRPr="004B6B4A">
        <w:rPr>
          <w:rFonts w:cstheme="minorHAnsi"/>
          <w:sz w:val="24"/>
          <w:szCs w:val="24"/>
        </w:rPr>
        <w:t xml:space="preserve">: </w:t>
      </w:r>
      <w:r w:rsidR="00654145">
        <w:rPr>
          <w:rFonts w:cstheme="minorHAnsi"/>
          <w:sz w:val="24"/>
          <w:szCs w:val="24"/>
        </w:rPr>
        <w:t xml:space="preserve">who </w:t>
      </w:r>
      <w:r w:rsidRPr="004B6B4A">
        <w:rPr>
          <w:rFonts w:cstheme="minorHAnsi"/>
          <w:sz w:val="24"/>
          <w:szCs w:val="24"/>
        </w:rPr>
        <w:t>s</w:t>
      </w:r>
      <w:r w:rsidR="00654145">
        <w:rPr>
          <w:rFonts w:cstheme="minorHAnsi"/>
          <w:sz w:val="24"/>
          <w:szCs w:val="24"/>
        </w:rPr>
        <w:t>ought</w:t>
      </w:r>
      <w:r>
        <w:rPr>
          <w:rFonts w:cstheme="minorHAnsi"/>
          <w:sz w:val="24"/>
          <w:szCs w:val="24"/>
        </w:rPr>
        <w:t xml:space="preserve"> amendments to current representation arrangements resulting in </w:t>
      </w:r>
      <w:proofErr w:type="spellStart"/>
      <w:r>
        <w:rPr>
          <w:rFonts w:cstheme="minorHAnsi"/>
          <w:sz w:val="24"/>
          <w:szCs w:val="24"/>
        </w:rPr>
        <w:t>councillors</w:t>
      </w:r>
      <w:proofErr w:type="spellEnd"/>
      <w:r>
        <w:rPr>
          <w:rFonts w:cstheme="minorHAnsi"/>
          <w:sz w:val="24"/>
          <w:szCs w:val="24"/>
        </w:rPr>
        <w:t xml:space="preserve"> representing a similar number of people.</w:t>
      </w:r>
      <w:r w:rsidRPr="004B6B4A">
        <w:rPr>
          <w:rFonts w:cstheme="minorHAnsi"/>
          <w:sz w:val="24"/>
          <w:szCs w:val="24"/>
        </w:rPr>
        <w:t xml:space="preserve"> </w:t>
      </w:r>
    </w:p>
    <w:p w14:paraId="1035F339" w14:textId="13EC3439" w:rsidR="008B052B" w:rsidRPr="008B052B" w:rsidRDefault="008B052B" w:rsidP="008B052B">
      <w:pPr>
        <w:keepLines/>
        <w:spacing w:after="120" w:line="240" w:lineRule="auto"/>
        <w:rPr>
          <w:rFonts w:cstheme="minorHAnsi"/>
          <w:b/>
          <w:i/>
          <w:sz w:val="24"/>
          <w:szCs w:val="24"/>
        </w:rPr>
      </w:pPr>
      <w:r>
        <w:rPr>
          <w:rFonts w:cstheme="minorHAnsi"/>
          <w:b/>
          <w:i/>
          <w:sz w:val="24"/>
          <w:szCs w:val="24"/>
        </w:rPr>
        <w:t>Hearing of appeals</w:t>
      </w:r>
    </w:p>
    <w:p w14:paraId="4C098612" w14:textId="77777777" w:rsidR="008B052B" w:rsidRDefault="008B052B" w:rsidP="00BE3E5C">
      <w:pPr>
        <w:pStyle w:val="ListParagraph"/>
        <w:numPr>
          <w:ilvl w:val="0"/>
          <w:numId w:val="25"/>
        </w:numPr>
        <w:spacing w:before="120" w:after="120" w:line="240" w:lineRule="auto"/>
        <w:ind w:hanging="720"/>
        <w:rPr>
          <w:rFonts w:cstheme="minorHAnsi"/>
          <w:sz w:val="24"/>
          <w:szCs w:val="24"/>
        </w:rPr>
      </w:pPr>
      <w:r>
        <w:rPr>
          <w:rFonts w:cstheme="minorHAnsi"/>
          <w:sz w:val="24"/>
          <w:szCs w:val="24"/>
        </w:rPr>
        <w:t>The Commission met with the council and the two appellants at a hearing held in Palmerston North on 27 February 2019.</w:t>
      </w:r>
    </w:p>
    <w:p w14:paraId="1BD3C724" w14:textId="255DB993" w:rsidR="008B052B" w:rsidRDefault="008B052B" w:rsidP="00BE3E5C">
      <w:pPr>
        <w:pStyle w:val="ListParagraph"/>
        <w:numPr>
          <w:ilvl w:val="0"/>
          <w:numId w:val="25"/>
        </w:numPr>
        <w:spacing w:before="120" w:after="120" w:line="240" w:lineRule="auto"/>
        <w:ind w:hanging="720"/>
        <w:rPr>
          <w:rFonts w:cstheme="minorHAnsi"/>
          <w:sz w:val="24"/>
          <w:szCs w:val="24"/>
        </w:rPr>
      </w:pPr>
      <w:r>
        <w:rPr>
          <w:rFonts w:cstheme="minorHAnsi"/>
          <w:sz w:val="24"/>
          <w:szCs w:val="24"/>
        </w:rPr>
        <w:t>The council was represented by the chairperson Bruce Gordon and chief executive Michael McCartney assisted by other council staff.</w:t>
      </w:r>
    </w:p>
    <w:p w14:paraId="17A510D9" w14:textId="6B04AC96" w:rsidR="008B052B" w:rsidRDefault="008B052B" w:rsidP="008B052B">
      <w:pPr>
        <w:spacing w:before="120" w:after="120" w:line="240" w:lineRule="auto"/>
        <w:rPr>
          <w:rFonts w:cstheme="minorHAnsi"/>
          <w:b/>
          <w:i/>
          <w:sz w:val="24"/>
          <w:szCs w:val="24"/>
        </w:rPr>
      </w:pPr>
      <w:r>
        <w:rPr>
          <w:rFonts w:cstheme="minorHAnsi"/>
          <w:b/>
          <w:i/>
          <w:sz w:val="24"/>
          <w:szCs w:val="24"/>
        </w:rPr>
        <w:t>Matters raised at hearing and in appeals</w:t>
      </w:r>
    </w:p>
    <w:p w14:paraId="2D5DF6D9" w14:textId="0C842971" w:rsidR="00C545C6" w:rsidRPr="009F14B3" w:rsidRDefault="00C545C6" w:rsidP="008B052B">
      <w:pPr>
        <w:spacing w:before="120" w:after="120" w:line="240" w:lineRule="auto"/>
        <w:rPr>
          <w:rFonts w:cstheme="minorHAnsi"/>
          <w:i/>
          <w:sz w:val="24"/>
          <w:szCs w:val="24"/>
        </w:rPr>
      </w:pPr>
      <w:r w:rsidRPr="009F14B3">
        <w:rPr>
          <w:rFonts w:cstheme="minorHAnsi"/>
          <w:i/>
          <w:sz w:val="24"/>
          <w:szCs w:val="24"/>
        </w:rPr>
        <w:t xml:space="preserve">Horizons </w:t>
      </w:r>
      <w:r w:rsidR="009F14B3" w:rsidRPr="009F14B3">
        <w:rPr>
          <w:rFonts w:cstheme="minorHAnsi"/>
          <w:i/>
          <w:sz w:val="24"/>
          <w:szCs w:val="24"/>
        </w:rPr>
        <w:t>R</w:t>
      </w:r>
      <w:r w:rsidRPr="009F14B3">
        <w:rPr>
          <w:rFonts w:cstheme="minorHAnsi"/>
          <w:i/>
          <w:sz w:val="24"/>
          <w:szCs w:val="24"/>
        </w:rPr>
        <w:t>egional Counc</w:t>
      </w:r>
      <w:r w:rsidR="009F14B3" w:rsidRPr="009F14B3">
        <w:rPr>
          <w:rFonts w:cstheme="minorHAnsi"/>
          <w:i/>
          <w:sz w:val="24"/>
          <w:szCs w:val="24"/>
        </w:rPr>
        <w:t>il</w:t>
      </w:r>
    </w:p>
    <w:p w14:paraId="5DD73D76" w14:textId="744125F1" w:rsidR="008B052B" w:rsidRDefault="005A584F" w:rsidP="00BE3E5C">
      <w:pPr>
        <w:pStyle w:val="ListParagraph"/>
        <w:numPr>
          <w:ilvl w:val="0"/>
          <w:numId w:val="25"/>
        </w:numPr>
        <w:spacing w:before="120" w:after="120" w:line="240" w:lineRule="auto"/>
        <w:ind w:hanging="720"/>
        <w:rPr>
          <w:rFonts w:cstheme="minorHAnsi"/>
          <w:sz w:val="24"/>
          <w:szCs w:val="24"/>
        </w:rPr>
      </w:pPr>
      <w:r>
        <w:rPr>
          <w:rFonts w:cstheme="minorHAnsi"/>
          <w:sz w:val="24"/>
          <w:szCs w:val="24"/>
        </w:rPr>
        <w:t>The chairperson explained the council’s decision o</w:t>
      </w:r>
      <w:r w:rsidR="009D24A8">
        <w:rPr>
          <w:rFonts w:cstheme="minorHAnsi"/>
          <w:sz w:val="24"/>
          <w:szCs w:val="24"/>
        </w:rPr>
        <w:t>f</w:t>
      </w:r>
      <w:r>
        <w:rPr>
          <w:rFonts w:cstheme="minorHAnsi"/>
          <w:sz w:val="24"/>
          <w:szCs w:val="24"/>
        </w:rPr>
        <w:t xml:space="preserve"> retention of status quo representation arrangements. He said </w:t>
      </w:r>
      <w:r w:rsidR="009D24A8">
        <w:rPr>
          <w:rFonts w:cstheme="minorHAnsi"/>
          <w:sz w:val="24"/>
          <w:szCs w:val="24"/>
        </w:rPr>
        <w:t>it</w:t>
      </w:r>
      <w:r>
        <w:rPr>
          <w:rFonts w:cstheme="minorHAnsi"/>
          <w:sz w:val="24"/>
          <w:szCs w:val="24"/>
        </w:rPr>
        <w:t xml:space="preserve"> was </w:t>
      </w:r>
      <w:r w:rsidR="009D24A8">
        <w:rPr>
          <w:rFonts w:cstheme="minorHAnsi"/>
          <w:sz w:val="24"/>
          <w:szCs w:val="24"/>
        </w:rPr>
        <w:t xml:space="preserve">also </w:t>
      </w:r>
      <w:r>
        <w:rPr>
          <w:rFonts w:cstheme="minorHAnsi"/>
          <w:sz w:val="24"/>
          <w:szCs w:val="24"/>
        </w:rPr>
        <w:t>aware of the final representation proposal of Manawatu District Council involving the removal of a ward boundary which also served as a regional constituency boundary. The council had, however, proceeded to resolve its final proposal given the stage it was at in the review process.</w:t>
      </w:r>
    </w:p>
    <w:p w14:paraId="34C46BFD" w14:textId="3E8DD70E" w:rsidR="005A584F" w:rsidRDefault="00C960DA" w:rsidP="00BE3E5C">
      <w:pPr>
        <w:pStyle w:val="ListParagraph"/>
        <w:numPr>
          <w:ilvl w:val="0"/>
          <w:numId w:val="25"/>
        </w:numPr>
        <w:spacing w:before="120" w:after="120" w:line="240" w:lineRule="auto"/>
        <w:ind w:hanging="720"/>
        <w:rPr>
          <w:rFonts w:cstheme="minorHAnsi"/>
          <w:sz w:val="24"/>
          <w:szCs w:val="24"/>
        </w:rPr>
      </w:pPr>
      <w:proofErr w:type="spellStart"/>
      <w:r>
        <w:rPr>
          <w:rFonts w:cstheme="minorHAnsi"/>
          <w:sz w:val="24"/>
          <w:szCs w:val="24"/>
        </w:rPr>
        <w:t>Mr</w:t>
      </w:r>
      <w:proofErr w:type="spellEnd"/>
      <w:r>
        <w:rPr>
          <w:rFonts w:cstheme="minorHAnsi"/>
          <w:sz w:val="24"/>
          <w:szCs w:val="24"/>
        </w:rPr>
        <w:t xml:space="preserve"> Gordon</w:t>
      </w:r>
      <w:r w:rsidR="005A584F">
        <w:rPr>
          <w:rFonts w:cstheme="minorHAnsi"/>
          <w:sz w:val="24"/>
          <w:szCs w:val="24"/>
        </w:rPr>
        <w:t xml:space="preserve"> </w:t>
      </w:r>
      <w:proofErr w:type="spellStart"/>
      <w:r w:rsidR="005A584F">
        <w:rPr>
          <w:rFonts w:cstheme="minorHAnsi"/>
          <w:sz w:val="24"/>
          <w:szCs w:val="24"/>
        </w:rPr>
        <w:t>apologised</w:t>
      </w:r>
      <w:proofErr w:type="spellEnd"/>
      <w:r w:rsidR="005A584F">
        <w:rPr>
          <w:rFonts w:cstheme="minorHAnsi"/>
          <w:sz w:val="24"/>
          <w:szCs w:val="24"/>
        </w:rPr>
        <w:t xml:space="preserve"> to </w:t>
      </w:r>
      <w:r w:rsidR="00902ACE">
        <w:rPr>
          <w:rFonts w:cstheme="minorHAnsi"/>
          <w:sz w:val="24"/>
          <w:szCs w:val="24"/>
        </w:rPr>
        <w:t xml:space="preserve">the </w:t>
      </w:r>
      <w:r w:rsidR="005A584F">
        <w:rPr>
          <w:rFonts w:cstheme="minorHAnsi"/>
          <w:sz w:val="24"/>
          <w:szCs w:val="24"/>
        </w:rPr>
        <w:t>submitters/appellants on the</w:t>
      </w:r>
      <w:r>
        <w:rPr>
          <w:rFonts w:cstheme="minorHAnsi"/>
          <w:sz w:val="24"/>
          <w:szCs w:val="24"/>
        </w:rPr>
        <w:t xml:space="preserve"> council’s proposal for the lack of information provided on the scenarios the council had considered</w:t>
      </w:r>
      <w:r w:rsidR="005B6E23">
        <w:rPr>
          <w:rFonts w:cstheme="minorHAnsi"/>
          <w:sz w:val="24"/>
          <w:szCs w:val="24"/>
        </w:rPr>
        <w:t xml:space="preserve"> in the early stages of</w:t>
      </w:r>
      <w:r>
        <w:rPr>
          <w:rFonts w:cstheme="minorHAnsi"/>
          <w:sz w:val="24"/>
          <w:szCs w:val="24"/>
        </w:rPr>
        <w:t xml:space="preserve"> the review</w:t>
      </w:r>
      <w:r w:rsidR="005B6E23">
        <w:rPr>
          <w:rFonts w:cstheme="minorHAnsi"/>
          <w:sz w:val="24"/>
          <w:szCs w:val="24"/>
        </w:rPr>
        <w:t xml:space="preserve"> process</w:t>
      </w:r>
      <w:r>
        <w:rPr>
          <w:rFonts w:cstheme="minorHAnsi"/>
          <w:sz w:val="24"/>
          <w:szCs w:val="24"/>
        </w:rPr>
        <w:t xml:space="preserve">. He said this should have been released publicly at the same time it was considered by the </w:t>
      </w:r>
      <w:proofErr w:type="spellStart"/>
      <w:r>
        <w:rPr>
          <w:rFonts w:cstheme="minorHAnsi"/>
          <w:sz w:val="24"/>
          <w:szCs w:val="24"/>
        </w:rPr>
        <w:t>councillors</w:t>
      </w:r>
      <w:proofErr w:type="spellEnd"/>
      <w:r>
        <w:rPr>
          <w:rFonts w:cstheme="minorHAnsi"/>
          <w:sz w:val="24"/>
          <w:szCs w:val="24"/>
        </w:rPr>
        <w:t>.</w:t>
      </w:r>
    </w:p>
    <w:p w14:paraId="65064C3E" w14:textId="32188C65" w:rsidR="00C960DA" w:rsidRDefault="00C960DA" w:rsidP="00BE3E5C">
      <w:pPr>
        <w:pStyle w:val="ListParagraph"/>
        <w:numPr>
          <w:ilvl w:val="0"/>
          <w:numId w:val="25"/>
        </w:numPr>
        <w:spacing w:before="120" w:after="120" w:line="240" w:lineRule="auto"/>
        <w:ind w:hanging="720"/>
        <w:rPr>
          <w:rFonts w:cstheme="minorHAnsi"/>
          <w:sz w:val="24"/>
          <w:szCs w:val="24"/>
        </w:rPr>
      </w:pPr>
      <w:proofErr w:type="spellStart"/>
      <w:r>
        <w:rPr>
          <w:rFonts w:cstheme="minorHAnsi"/>
          <w:sz w:val="24"/>
          <w:szCs w:val="24"/>
        </w:rPr>
        <w:t>Mr</w:t>
      </w:r>
      <w:proofErr w:type="spellEnd"/>
      <w:r>
        <w:rPr>
          <w:rFonts w:cstheme="minorHAnsi"/>
          <w:sz w:val="24"/>
          <w:szCs w:val="24"/>
        </w:rPr>
        <w:t xml:space="preserve"> Gordon then described the nature of the Manawatu-Wanganui Region. </w:t>
      </w:r>
      <w:r w:rsidR="00173AC7">
        <w:rPr>
          <w:rFonts w:cstheme="minorHAnsi"/>
          <w:sz w:val="24"/>
          <w:szCs w:val="24"/>
        </w:rPr>
        <w:t>I</w:t>
      </w:r>
      <w:r>
        <w:rPr>
          <w:rFonts w:cstheme="minorHAnsi"/>
          <w:sz w:val="24"/>
          <w:szCs w:val="24"/>
        </w:rPr>
        <w:t xml:space="preserve">t </w:t>
      </w:r>
      <w:r w:rsidR="00173AC7">
        <w:rPr>
          <w:rFonts w:cstheme="minorHAnsi"/>
          <w:sz w:val="24"/>
          <w:szCs w:val="24"/>
        </w:rPr>
        <w:t>w</w:t>
      </w:r>
      <w:r>
        <w:rPr>
          <w:rFonts w:cstheme="minorHAnsi"/>
          <w:sz w:val="24"/>
          <w:szCs w:val="24"/>
        </w:rPr>
        <w:t xml:space="preserve">as a large diverse area with no single population </w:t>
      </w:r>
      <w:proofErr w:type="spellStart"/>
      <w:r>
        <w:rPr>
          <w:rFonts w:cstheme="minorHAnsi"/>
          <w:sz w:val="24"/>
          <w:szCs w:val="24"/>
        </w:rPr>
        <w:t>centre</w:t>
      </w:r>
      <w:proofErr w:type="spellEnd"/>
      <w:r>
        <w:rPr>
          <w:rFonts w:cstheme="minorHAnsi"/>
          <w:sz w:val="24"/>
          <w:szCs w:val="24"/>
        </w:rPr>
        <w:t xml:space="preserve">, and with strong elements of parochialism across the region.  </w:t>
      </w:r>
      <w:r w:rsidR="00173AC7">
        <w:rPr>
          <w:rFonts w:cstheme="minorHAnsi"/>
          <w:sz w:val="24"/>
          <w:szCs w:val="24"/>
        </w:rPr>
        <w:t xml:space="preserve">He said </w:t>
      </w:r>
      <w:r>
        <w:rPr>
          <w:rFonts w:cstheme="minorHAnsi"/>
          <w:sz w:val="24"/>
          <w:szCs w:val="24"/>
        </w:rPr>
        <w:t>there was nothing to suggest that the present representation model, aligning closely with territorial authority boundaries, was wrong. This structure had been introduced by the Commission in 2007.</w:t>
      </w:r>
    </w:p>
    <w:p w14:paraId="2BE05881" w14:textId="5EE2EA3D" w:rsidR="00EB3397" w:rsidRDefault="00EB3397" w:rsidP="00BE3E5C">
      <w:pPr>
        <w:pStyle w:val="ListParagraph"/>
        <w:numPr>
          <w:ilvl w:val="0"/>
          <w:numId w:val="25"/>
        </w:numPr>
        <w:spacing w:before="120" w:after="120" w:line="240" w:lineRule="auto"/>
        <w:ind w:hanging="720"/>
        <w:rPr>
          <w:rFonts w:cstheme="minorHAnsi"/>
          <w:sz w:val="24"/>
          <w:szCs w:val="24"/>
        </w:rPr>
      </w:pPr>
      <w:r>
        <w:rPr>
          <w:rFonts w:cstheme="minorHAnsi"/>
          <w:sz w:val="24"/>
          <w:szCs w:val="24"/>
        </w:rPr>
        <w:t>No concerns had been raised about the arrangements for Ruapehu Constituency and the council was keen not to split this community of interest. While some concerns had been expressed in the past about the combining of Rangitikei District with Manawatu in one constituency, there had been no requests for change during the current review.</w:t>
      </w:r>
    </w:p>
    <w:p w14:paraId="08F00E1C" w14:textId="62F777BE" w:rsidR="000D14DD" w:rsidRDefault="00EB3397" w:rsidP="00BE3E5C">
      <w:pPr>
        <w:pStyle w:val="ListParagraph"/>
        <w:numPr>
          <w:ilvl w:val="0"/>
          <w:numId w:val="25"/>
        </w:numPr>
        <w:spacing w:before="120" w:after="120" w:line="240" w:lineRule="auto"/>
        <w:ind w:hanging="720"/>
        <w:rPr>
          <w:rFonts w:cstheme="minorHAnsi"/>
          <w:sz w:val="24"/>
          <w:szCs w:val="24"/>
        </w:rPr>
      </w:pPr>
      <w:proofErr w:type="spellStart"/>
      <w:r>
        <w:rPr>
          <w:rFonts w:cstheme="minorHAnsi"/>
          <w:sz w:val="24"/>
          <w:szCs w:val="24"/>
        </w:rPr>
        <w:t>Mr</w:t>
      </w:r>
      <w:proofErr w:type="spellEnd"/>
      <w:r>
        <w:rPr>
          <w:rFonts w:cstheme="minorHAnsi"/>
          <w:sz w:val="24"/>
          <w:szCs w:val="24"/>
        </w:rPr>
        <w:t xml:space="preserve"> Gordon said the region </w:t>
      </w:r>
      <w:proofErr w:type="gramStart"/>
      <w:r>
        <w:rPr>
          <w:rFonts w:cstheme="minorHAnsi"/>
          <w:sz w:val="24"/>
          <w:szCs w:val="24"/>
        </w:rPr>
        <w:t>as a whole was</w:t>
      </w:r>
      <w:proofErr w:type="gramEnd"/>
      <w:r>
        <w:rPr>
          <w:rFonts w:cstheme="minorHAnsi"/>
          <w:sz w:val="24"/>
          <w:szCs w:val="24"/>
        </w:rPr>
        <w:t xml:space="preserve"> growing, not just Palmerston North, and he expected this would continue. Council functions were important, therefore, for the whole region</w:t>
      </w:r>
      <w:r w:rsidR="000D14DD">
        <w:rPr>
          <w:rFonts w:cstheme="minorHAnsi"/>
          <w:sz w:val="24"/>
          <w:szCs w:val="24"/>
        </w:rPr>
        <w:t xml:space="preserve">. Much of the council’s work, such as flood control and pest control, was carried out in the country areas rather than in the cities and other </w:t>
      </w:r>
      <w:proofErr w:type="spellStart"/>
      <w:r w:rsidR="00902ACE">
        <w:rPr>
          <w:rFonts w:cstheme="minorHAnsi"/>
          <w:sz w:val="24"/>
          <w:szCs w:val="24"/>
        </w:rPr>
        <w:t>centres</w:t>
      </w:r>
      <w:proofErr w:type="spellEnd"/>
      <w:r w:rsidR="00902ACE">
        <w:rPr>
          <w:rFonts w:cstheme="minorHAnsi"/>
          <w:sz w:val="24"/>
          <w:szCs w:val="24"/>
        </w:rPr>
        <w:t xml:space="preserve"> of population</w:t>
      </w:r>
      <w:r w:rsidR="000D14DD">
        <w:rPr>
          <w:rFonts w:cstheme="minorHAnsi"/>
          <w:sz w:val="24"/>
          <w:szCs w:val="24"/>
        </w:rPr>
        <w:t>.</w:t>
      </w:r>
    </w:p>
    <w:p w14:paraId="424113B5" w14:textId="7E9EE691" w:rsidR="00EB3397" w:rsidRDefault="000D14DD" w:rsidP="00BE3E5C">
      <w:pPr>
        <w:pStyle w:val="ListParagraph"/>
        <w:numPr>
          <w:ilvl w:val="0"/>
          <w:numId w:val="25"/>
        </w:numPr>
        <w:spacing w:before="120" w:after="120" w:line="240" w:lineRule="auto"/>
        <w:ind w:hanging="720"/>
        <w:rPr>
          <w:rFonts w:cstheme="minorHAnsi"/>
          <w:sz w:val="24"/>
          <w:szCs w:val="24"/>
        </w:rPr>
      </w:pPr>
      <w:r>
        <w:rPr>
          <w:rFonts w:cstheme="minorHAnsi"/>
          <w:sz w:val="24"/>
          <w:szCs w:val="24"/>
        </w:rPr>
        <w:t>Council officer, Pen</w:t>
      </w:r>
      <w:r w:rsidR="0064096B">
        <w:rPr>
          <w:rFonts w:cstheme="minorHAnsi"/>
          <w:sz w:val="24"/>
          <w:szCs w:val="24"/>
        </w:rPr>
        <w:t>n</w:t>
      </w:r>
      <w:r>
        <w:rPr>
          <w:rFonts w:cstheme="minorHAnsi"/>
          <w:sz w:val="24"/>
          <w:szCs w:val="24"/>
        </w:rPr>
        <w:t xml:space="preserve"> Tucker, then outlined in more detail the process the council had gone through and the considerations in relation to </w:t>
      </w:r>
      <w:r w:rsidR="00C545C6">
        <w:rPr>
          <w:rFonts w:cstheme="minorHAnsi"/>
          <w:sz w:val="24"/>
          <w:szCs w:val="24"/>
        </w:rPr>
        <w:t xml:space="preserve">communities of interest in the region and </w:t>
      </w:r>
      <w:r w:rsidR="00902ACE">
        <w:rPr>
          <w:rFonts w:cstheme="minorHAnsi"/>
          <w:sz w:val="24"/>
          <w:szCs w:val="24"/>
        </w:rPr>
        <w:t xml:space="preserve">the </w:t>
      </w:r>
      <w:r>
        <w:rPr>
          <w:rFonts w:cstheme="minorHAnsi"/>
          <w:sz w:val="24"/>
          <w:szCs w:val="24"/>
        </w:rPr>
        <w:t xml:space="preserve">statutory requirements. </w:t>
      </w:r>
      <w:r w:rsidR="00C545C6">
        <w:rPr>
          <w:rFonts w:cstheme="minorHAnsi"/>
          <w:sz w:val="24"/>
          <w:szCs w:val="24"/>
        </w:rPr>
        <w:t xml:space="preserve">Two constituencies were marginally outside the ‘+/-10% rule’ with only Ruapehu Constituency significantly outside and this constituency did have </w:t>
      </w:r>
      <w:r w:rsidR="005B6E23">
        <w:rPr>
          <w:rFonts w:cstheme="minorHAnsi"/>
          <w:sz w:val="24"/>
          <w:szCs w:val="24"/>
        </w:rPr>
        <w:t>degree</w:t>
      </w:r>
      <w:r w:rsidR="00C545C6">
        <w:rPr>
          <w:rFonts w:cstheme="minorHAnsi"/>
          <w:sz w:val="24"/>
          <w:szCs w:val="24"/>
        </w:rPr>
        <w:t xml:space="preserve">s of isolation. The council had, however, considered options to address this matter but these involved real risks in terms of creating unnatural communities of interest and </w:t>
      </w:r>
      <w:r w:rsidR="00902ACE">
        <w:rPr>
          <w:rFonts w:cstheme="minorHAnsi"/>
          <w:sz w:val="24"/>
          <w:szCs w:val="24"/>
        </w:rPr>
        <w:t xml:space="preserve">they </w:t>
      </w:r>
      <w:r w:rsidR="00C545C6">
        <w:rPr>
          <w:rFonts w:cstheme="minorHAnsi"/>
          <w:sz w:val="24"/>
          <w:szCs w:val="24"/>
        </w:rPr>
        <w:t xml:space="preserve">would result in huge areas for one </w:t>
      </w:r>
      <w:proofErr w:type="spellStart"/>
      <w:r w:rsidR="00C545C6">
        <w:rPr>
          <w:rFonts w:cstheme="minorHAnsi"/>
          <w:sz w:val="24"/>
          <w:szCs w:val="24"/>
        </w:rPr>
        <w:t>councillor</w:t>
      </w:r>
      <w:proofErr w:type="spellEnd"/>
      <w:r w:rsidR="00C545C6">
        <w:rPr>
          <w:rFonts w:cstheme="minorHAnsi"/>
          <w:sz w:val="24"/>
          <w:szCs w:val="24"/>
        </w:rPr>
        <w:t xml:space="preserve"> to represent.</w:t>
      </w:r>
      <w:r>
        <w:rPr>
          <w:rFonts w:cstheme="minorHAnsi"/>
          <w:sz w:val="24"/>
          <w:szCs w:val="24"/>
        </w:rPr>
        <w:t xml:space="preserve">  </w:t>
      </w:r>
    </w:p>
    <w:p w14:paraId="11D0727A" w14:textId="18AFAB47" w:rsidR="005B6E23" w:rsidRPr="005B6E23" w:rsidRDefault="005B6E23" w:rsidP="005B6E23">
      <w:pPr>
        <w:spacing w:before="120" w:after="120" w:line="240" w:lineRule="auto"/>
        <w:rPr>
          <w:rFonts w:cstheme="minorHAnsi"/>
          <w:i/>
          <w:sz w:val="24"/>
          <w:szCs w:val="24"/>
        </w:rPr>
      </w:pPr>
      <w:r>
        <w:rPr>
          <w:rFonts w:cstheme="minorHAnsi"/>
          <w:i/>
          <w:sz w:val="24"/>
          <w:szCs w:val="24"/>
        </w:rPr>
        <w:t>Mark Chilcott</w:t>
      </w:r>
    </w:p>
    <w:p w14:paraId="41421623" w14:textId="5A427AF7" w:rsidR="005B6E23" w:rsidRDefault="005B6E23" w:rsidP="00BE3E5C">
      <w:pPr>
        <w:pStyle w:val="ListParagraph"/>
        <w:numPr>
          <w:ilvl w:val="0"/>
          <w:numId w:val="25"/>
        </w:numPr>
        <w:spacing w:before="120" w:after="120" w:line="240" w:lineRule="auto"/>
        <w:ind w:hanging="720"/>
        <w:rPr>
          <w:rFonts w:cstheme="minorHAnsi"/>
          <w:sz w:val="24"/>
          <w:szCs w:val="24"/>
        </w:rPr>
      </w:pPr>
      <w:proofErr w:type="spellStart"/>
      <w:r>
        <w:rPr>
          <w:rFonts w:cstheme="minorHAnsi"/>
          <w:sz w:val="24"/>
          <w:szCs w:val="24"/>
        </w:rPr>
        <w:t>Mr</w:t>
      </w:r>
      <w:proofErr w:type="spellEnd"/>
      <w:r>
        <w:rPr>
          <w:rFonts w:cstheme="minorHAnsi"/>
          <w:sz w:val="24"/>
          <w:szCs w:val="24"/>
        </w:rPr>
        <w:t xml:space="preserve"> Chilcott said he believed it was important that the +/-10% fair representation requirement </w:t>
      </w:r>
      <w:r w:rsidR="00173AC7">
        <w:rPr>
          <w:rFonts w:cstheme="minorHAnsi"/>
          <w:sz w:val="24"/>
          <w:szCs w:val="24"/>
        </w:rPr>
        <w:t>was</w:t>
      </w:r>
      <w:r>
        <w:rPr>
          <w:rFonts w:cstheme="minorHAnsi"/>
          <w:sz w:val="24"/>
          <w:szCs w:val="24"/>
        </w:rPr>
        <w:t xml:space="preserve"> met and </w:t>
      </w:r>
      <w:r w:rsidR="00173AC7">
        <w:rPr>
          <w:rFonts w:cstheme="minorHAnsi"/>
          <w:sz w:val="24"/>
          <w:szCs w:val="24"/>
        </w:rPr>
        <w:t>that</w:t>
      </w:r>
      <w:r>
        <w:rPr>
          <w:rFonts w:cstheme="minorHAnsi"/>
          <w:sz w:val="24"/>
          <w:szCs w:val="24"/>
        </w:rPr>
        <w:t xml:space="preserve"> it was not that onerous</w:t>
      </w:r>
      <w:r w:rsidR="00173AC7">
        <w:rPr>
          <w:rFonts w:cstheme="minorHAnsi"/>
          <w:sz w:val="24"/>
          <w:szCs w:val="24"/>
        </w:rPr>
        <w:t>,</w:t>
      </w:r>
      <w:r>
        <w:rPr>
          <w:rFonts w:cstheme="minorHAnsi"/>
          <w:sz w:val="24"/>
          <w:szCs w:val="24"/>
        </w:rPr>
        <w:t xml:space="preserve"> noting the equivalent parliamentary provision was 5%.</w:t>
      </w:r>
      <w:r w:rsidR="003A490D">
        <w:rPr>
          <w:rFonts w:cstheme="minorHAnsi"/>
          <w:sz w:val="24"/>
          <w:szCs w:val="24"/>
        </w:rPr>
        <w:t xml:space="preserve"> He tabled a</w:t>
      </w:r>
      <w:r w:rsidR="009D24A8">
        <w:rPr>
          <w:rFonts w:cstheme="minorHAnsi"/>
          <w:sz w:val="24"/>
          <w:szCs w:val="24"/>
        </w:rPr>
        <w:t xml:space="preserve"> fully complia</w:t>
      </w:r>
      <w:r w:rsidR="003A490D">
        <w:rPr>
          <w:rFonts w:cstheme="minorHAnsi"/>
          <w:sz w:val="24"/>
          <w:szCs w:val="24"/>
        </w:rPr>
        <w:t>n</w:t>
      </w:r>
      <w:r w:rsidR="009D24A8">
        <w:rPr>
          <w:rFonts w:cstheme="minorHAnsi"/>
          <w:sz w:val="24"/>
          <w:szCs w:val="24"/>
        </w:rPr>
        <w:t>t</w:t>
      </w:r>
      <w:r w:rsidR="003A490D">
        <w:rPr>
          <w:rFonts w:cstheme="minorHAnsi"/>
          <w:sz w:val="24"/>
          <w:szCs w:val="24"/>
        </w:rPr>
        <w:t xml:space="preserve"> option</w:t>
      </w:r>
      <w:r w:rsidR="009D24A8">
        <w:rPr>
          <w:rFonts w:cstheme="minorHAnsi"/>
          <w:sz w:val="24"/>
          <w:szCs w:val="24"/>
        </w:rPr>
        <w:t xml:space="preserve"> of thirteen </w:t>
      </w:r>
      <w:proofErr w:type="spellStart"/>
      <w:r w:rsidR="009D24A8">
        <w:rPr>
          <w:rFonts w:cstheme="minorHAnsi"/>
          <w:sz w:val="24"/>
          <w:szCs w:val="24"/>
        </w:rPr>
        <w:t>councillors</w:t>
      </w:r>
      <w:proofErr w:type="spellEnd"/>
      <w:r w:rsidR="009D24A8">
        <w:rPr>
          <w:rFonts w:cstheme="minorHAnsi"/>
          <w:sz w:val="24"/>
          <w:szCs w:val="24"/>
        </w:rPr>
        <w:t xml:space="preserve"> elected from eight constituencies.</w:t>
      </w:r>
    </w:p>
    <w:p w14:paraId="6D76D622" w14:textId="39896C74" w:rsidR="00173AC7" w:rsidRDefault="00173AC7" w:rsidP="00BE3E5C">
      <w:pPr>
        <w:pStyle w:val="ListParagraph"/>
        <w:numPr>
          <w:ilvl w:val="0"/>
          <w:numId w:val="25"/>
        </w:numPr>
        <w:spacing w:before="120" w:after="120" w:line="240" w:lineRule="auto"/>
        <w:ind w:hanging="720"/>
        <w:rPr>
          <w:rFonts w:cstheme="minorHAnsi"/>
          <w:sz w:val="24"/>
          <w:szCs w:val="24"/>
        </w:rPr>
      </w:pPr>
      <w:r>
        <w:rPr>
          <w:rFonts w:cstheme="minorHAnsi"/>
          <w:sz w:val="24"/>
          <w:szCs w:val="24"/>
        </w:rPr>
        <w:t>He said he believed the urban work of the council, such as in transport, would become more important over time. The effects of climate change would also impact on more and more people and these people needed to be properly represented.</w:t>
      </w:r>
    </w:p>
    <w:p w14:paraId="59FD1B03" w14:textId="10C7B0F2" w:rsidR="00173AC7" w:rsidRPr="00173AC7" w:rsidRDefault="00173AC7" w:rsidP="00173AC7">
      <w:pPr>
        <w:spacing w:before="120" w:after="120" w:line="240" w:lineRule="auto"/>
        <w:rPr>
          <w:rFonts w:cstheme="minorHAnsi"/>
          <w:i/>
          <w:sz w:val="24"/>
          <w:szCs w:val="24"/>
        </w:rPr>
      </w:pPr>
      <w:r>
        <w:rPr>
          <w:rFonts w:cstheme="minorHAnsi"/>
          <w:i/>
          <w:sz w:val="24"/>
          <w:szCs w:val="24"/>
        </w:rPr>
        <w:t>Adam Canning</w:t>
      </w:r>
    </w:p>
    <w:p w14:paraId="4FF99802" w14:textId="6B14A275" w:rsidR="00173AC7" w:rsidRDefault="00173AC7" w:rsidP="00BE3E5C">
      <w:pPr>
        <w:pStyle w:val="ListParagraph"/>
        <w:numPr>
          <w:ilvl w:val="0"/>
          <w:numId w:val="25"/>
        </w:numPr>
        <w:spacing w:before="120" w:after="120" w:line="240" w:lineRule="auto"/>
        <w:ind w:hanging="720"/>
        <w:rPr>
          <w:rFonts w:cstheme="minorHAnsi"/>
          <w:sz w:val="24"/>
          <w:szCs w:val="24"/>
        </w:rPr>
      </w:pPr>
      <w:proofErr w:type="spellStart"/>
      <w:r>
        <w:rPr>
          <w:rFonts w:cstheme="minorHAnsi"/>
          <w:sz w:val="24"/>
          <w:szCs w:val="24"/>
        </w:rPr>
        <w:t>Mr</w:t>
      </w:r>
      <w:proofErr w:type="spellEnd"/>
      <w:r>
        <w:rPr>
          <w:rFonts w:cstheme="minorHAnsi"/>
          <w:sz w:val="24"/>
          <w:szCs w:val="24"/>
        </w:rPr>
        <w:t xml:space="preserve"> Canning referred to what he described as the unfairness of the council’s proposal in terms of representation. He also </w:t>
      </w:r>
      <w:r w:rsidR="003C6427">
        <w:rPr>
          <w:rFonts w:cstheme="minorHAnsi"/>
          <w:sz w:val="24"/>
          <w:szCs w:val="24"/>
        </w:rPr>
        <w:t>referred to growth in Palmerston North and Wanganui which would result in increased unfairness. He sought more equal levels of representation across the region.</w:t>
      </w:r>
    </w:p>
    <w:p w14:paraId="746C8DB5" w14:textId="77777777" w:rsidR="008B052B" w:rsidRPr="008B052B" w:rsidRDefault="008B052B" w:rsidP="008B052B">
      <w:pPr>
        <w:spacing w:after="120"/>
        <w:rPr>
          <w:rFonts w:cstheme="minorHAnsi"/>
          <w:b/>
          <w:sz w:val="28"/>
          <w:szCs w:val="28"/>
        </w:rPr>
      </w:pPr>
      <w:r w:rsidRPr="008B052B">
        <w:rPr>
          <w:rFonts w:cstheme="minorHAnsi"/>
          <w:b/>
          <w:sz w:val="28"/>
          <w:szCs w:val="28"/>
        </w:rPr>
        <w:t>Matters for determination by the Commission</w:t>
      </w:r>
    </w:p>
    <w:p w14:paraId="73297545" w14:textId="6AAD77A4" w:rsidR="00BE3E5C" w:rsidRPr="004B6B4A" w:rsidRDefault="00BE3E5C" w:rsidP="00BE3E5C">
      <w:pPr>
        <w:pStyle w:val="ListParagraph"/>
        <w:numPr>
          <w:ilvl w:val="0"/>
          <w:numId w:val="25"/>
        </w:numPr>
        <w:spacing w:before="120" w:after="120" w:line="240" w:lineRule="auto"/>
        <w:ind w:hanging="720"/>
        <w:rPr>
          <w:rFonts w:cstheme="minorHAnsi"/>
          <w:sz w:val="24"/>
          <w:szCs w:val="24"/>
        </w:rPr>
      </w:pPr>
      <w:r w:rsidRPr="004B6B4A">
        <w:rPr>
          <w:rFonts w:cstheme="minorHAnsi"/>
          <w:sz w:val="24"/>
          <w:szCs w:val="24"/>
        </w:rPr>
        <w:t xml:space="preserve">Section 19R of the Act makes it clear that the Commission, in addition to consideration of the appeals and objections against a council’s final representation proposal, is required to determine, in the case of a regional council, all the matters set out in section 19I which relate to the representation arrangements for regional councils. This interpretation was reinforced by a 2004 High Court decision which found that the Commission’s role is not merely supervisory of a local authority’s representation arrangements decision. The Commission is required to form its own view on all the matters which are in scope of the review. </w:t>
      </w:r>
    </w:p>
    <w:p w14:paraId="1884DD37" w14:textId="77777777" w:rsidR="00BE3E5C" w:rsidRPr="004B6B4A" w:rsidRDefault="00BE3E5C" w:rsidP="00BE3E5C">
      <w:pPr>
        <w:pStyle w:val="ListParagraph"/>
        <w:numPr>
          <w:ilvl w:val="0"/>
          <w:numId w:val="25"/>
        </w:numPr>
        <w:spacing w:before="120" w:after="120" w:line="240" w:lineRule="auto"/>
        <w:ind w:hanging="720"/>
        <w:rPr>
          <w:rFonts w:cstheme="minorHAnsi"/>
          <w:sz w:val="24"/>
          <w:szCs w:val="24"/>
        </w:rPr>
      </w:pPr>
      <w:r w:rsidRPr="004B6B4A">
        <w:rPr>
          <w:rFonts w:cstheme="minorHAnsi"/>
          <w:sz w:val="24"/>
          <w:szCs w:val="24"/>
        </w:rPr>
        <w:t xml:space="preserve">Given this requirement, any concerns expressed by appellants/objectors relating to the council’s review process are not matters that the Commission needs to address.  </w:t>
      </w:r>
    </w:p>
    <w:p w14:paraId="3C275847" w14:textId="77777777" w:rsidR="00BE3E5C" w:rsidRPr="004B6B4A" w:rsidRDefault="00BE3E5C" w:rsidP="00BE3E5C">
      <w:pPr>
        <w:pStyle w:val="ListParagraph"/>
        <w:numPr>
          <w:ilvl w:val="0"/>
          <w:numId w:val="25"/>
        </w:numPr>
        <w:spacing w:before="120" w:after="120" w:line="240" w:lineRule="auto"/>
        <w:ind w:hanging="720"/>
        <w:rPr>
          <w:rFonts w:cstheme="minorHAnsi"/>
          <w:sz w:val="24"/>
          <w:szCs w:val="24"/>
        </w:rPr>
      </w:pPr>
      <w:r w:rsidRPr="004B6B4A">
        <w:rPr>
          <w:rFonts w:cstheme="minorHAnsi"/>
          <w:sz w:val="24"/>
          <w:szCs w:val="24"/>
        </w:rPr>
        <w:t xml:space="preserve">The matters in scope for the review are: </w:t>
      </w:r>
    </w:p>
    <w:p w14:paraId="4C7278B4" w14:textId="77777777" w:rsidR="00BE3E5C" w:rsidRPr="004B6B4A" w:rsidRDefault="00BE3E5C" w:rsidP="00BE3E5C">
      <w:pPr>
        <w:pStyle w:val="ListParagraph"/>
        <w:numPr>
          <w:ilvl w:val="1"/>
          <w:numId w:val="27"/>
        </w:numPr>
        <w:spacing w:line="240" w:lineRule="auto"/>
        <w:rPr>
          <w:rFonts w:cstheme="minorHAnsi"/>
          <w:sz w:val="24"/>
          <w:szCs w:val="24"/>
        </w:rPr>
      </w:pPr>
      <w:r w:rsidRPr="004B6B4A">
        <w:rPr>
          <w:rFonts w:cstheme="minorHAnsi"/>
          <w:sz w:val="24"/>
          <w:szCs w:val="24"/>
        </w:rPr>
        <w:t>the number, boundaries and names of the proposed constituencies</w:t>
      </w:r>
    </w:p>
    <w:p w14:paraId="5E8D7438" w14:textId="77777777" w:rsidR="00BE3E5C" w:rsidRPr="004B6B4A" w:rsidRDefault="00BE3E5C" w:rsidP="00BE3E5C">
      <w:pPr>
        <w:pStyle w:val="ListParagraph"/>
        <w:numPr>
          <w:ilvl w:val="1"/>
          <w:numId w:val="27"/>
        </w:numPr>
        <w:spacing w:line="240" w:lineRule="auto"/>
        <w:rPr>
          <w:rFonts w:cstheme="minorHAnsi"/>
          <w:sz w:val="24"/>
          <w:szCs w:val="24"/>
        </w:rPr>
      </w:pPr>
      <w:r w:rsidRPr="004B6B4A">
        <w:rPr>
          <w:rFonts w:cstheme="minorHAnsi"/>
          <w:sz w:val="24"/>
          <w:szCs w:val="24"/>
        </w:rPr>
        <w:t xml:space="preserve">the proposed number of </w:t>
      </w:r>
      <w:proofErr w:type="spellStart"/>
      <w:r w:rsidRPr="004B6B4A">
        <w:rPr>
          <w:rFonts w:cstheme="minorHAnsi"/>
          <w:sz w:val="24"/>
          <w:szCs w:val="24"/>
        </w:rPr>
        <w:t>councillors</w:t>
      </w:r>
      <w:proofErr w:type="spellEnd"/>
      <w:r w:rsidRPr="004B6B4A">
        <w:rPr>
          <w:rFonts w:cstheme="minorHAnsi"/>
          <w:sz w:val="24"/>
          <w:szCs w:val="24"/>
        </w:rPr>
        <w:t xml:space="preserve"> for each constituency.</w:t>
      </w:r>
    </w:p>
    <w:p w14:paraId="60356B04" w14:textId="77777777" w:rsidR="00BE3E5C" w:rsidRPr="00005CC6" w:rsidRDefault="00BE3E5C" w:rsidP="00BE3E5C">
      <w:pPr>
        <w:spacing w:before="120" w:after="120"/>
        <w:rPr>
          <w:rFonts w:cstheme="minorHAnsi"/>
          <w:b/>
          <w:i/>
          <w:sz w:val="24"/>
          <w:szCs w:val="24"/>
        </w:rPr>
      </w:pPr>
      <w:r w:rsidRPr="00005CC6">
        <w:rPr>
          <w:rFonts w:cstheme="minorHAnsi"/>
          <w:b/>
          <w:i/>
          <w:sz w:val="24"/>
          <w:szCs w:val="24"/>
        </w:rPr>
        <w:t>Key considerations</w:t>
      </w:r>
    </w:p>
    <w:p w14:paraId="7C575549" w14:textId="77777777" w:rsidR="00BE3E5C" w:rsidRPr="004B6B4A" w:rsidRDefault="00BE3E5C" w:rsidP="00BE3E5C">
      <w:pPr>
        <w:pStyle w:val="ListParagraph"/>
        <w:numPr>
          <w:ilvl w:val="0"/>
          <w:numId w:val="25"/>
        </w:numPr>
        <w:spacing w:before="120" w:after="120" w:line="240" w:lineRule="auto"/>
        <w:ind w:hanging="720"/>
        <w:rPr>
          <w:rFonts w:cstheme="minorHAnsi"/>
          <w:sz w:val="24"/>
          <w:szCs w:val="24"/>
        </w:rPr>
      </w:pPr>
      <w:r w:rsidRPr="004B6B4A">
        <w:rPr>
          <w:rFonts w:cstheme="minorHAnsi"/>
          <w:sz w:val="24"/>
          <w:szCs w:val="24"/>
        </w:rPr>
        <w:t xml:space="preserve">Based on the legislative requirements, the Commission’s </w:t>
      </w:r>
      <w:r w:rsidRPr="004B6B4A">
        <w:rPr>
          <w:rFonts w:cstheme="minorHAnsi"/>
          <w:i/>
          <w:sz w:val="24"/>
          <w:szCs w:val="24"/>
        </w:rPr>
        <w:t>Guidelines for local authorities undertaking representation reviews</w:t>
      </w:r>
      <w:r w:rsidRPr="004B6B4A">
        <w:rPr>
          <w:rFonts w:cstheme="minorHAnsi"/>
          <w:sz w:val="24"/>
          <w:szCs w:val="24"/>
        </w:rPr>
        <w:t xml:space="preserve"> identify the following three key factors when considering representation proposals:</w:t>
      </w:r>
    </w:p>
    <w:p w14:paraId="3D6FD3BF" w14:textId="77777777" w:rsidR="00BE3E5C" w:rsidRPr="004B6B4A" w:rsidRDefault="00BE3E5C" w:rsidP="00BE3E5C">
      <w:pPr>
        <w:pStyle w:val="ListParagraph"/>
        <w:numPr>
          <w:ilvl w:val="1"/>
          <w:numId w:val="25"/>
        </w:numPr>
        <w:spacing w:before="120" w:after="120" w:line="240" w:lineRule="auto"/>
        <w:rPr>
          <w:rFonts w:cstheme="minorHAnsi"/>
          <w:sz w:val="24"/>
          <w:szCs w:val="24"/>
        </w:rPr>
      </w:pPr>
      <w:r w:rsidRPr="004B6B4A">
        <w:rPr>
          <w:rFonts w:cstheme="minorHAnsi"/>
          <w:sz w:val="24"/>
          <w:szCs w:val="24"/>
        </w:rPr>
        <w:t>communities of interest</w:t>
      </w:r>
    </w:p>
    <w:p w14:paraId="061B148A" w14:textId="77777777" w:rsidR="00BE3E5C" w:rsidRPr="004B6B4A" w:rsidRDefault="00BE3E5C" w:rsidP="00BE3E5C">
      <w:pPr>
        <w:pStyle w:val="ListParagraph"/>
        <w:numPr>
          <w:ilvl w:val="1"/>
          <w:numId w:val="25"/>
        </w:numPr>
        <w:spacing w:before="120" w:after="120" w:line="240" w:lineRule="auto"/>
        <w:rPr>
          <w:rFonts w:cstheme="minorHAnsi"/>
          <w:sz w:val="24"/>
          <w:szCs w:val="24"/>
        </w:rPr>
      </w:pPr>
      <w:r w:rsidRPr="004B6B4A">
        <w:rPr>
          <w:rFonts w:cstheme="minorHAnsi"/>
          <w:sz w:val="24"/>
          <w:szCs w:val="24"/>
        </w:rPr>
        <w:t>effective representation of communities of interest</w:t>
      </w:r>
    </w:p>
    <w:p w14:paraId="57EFB6EA" w14:textId="77777777" w:rsidR="00BE3E5C" w:rsidRPr="004B6B4A" w:rsidRDefault="00BE3E5C" w:rsidP="00BE3E5C">
      <w:pPr>
        <w:pStyle w:val="ListParagraph"/>
        <w:numPr>
          <w:ilvl w:val="1"/>
          <w:numId w:val="25"/>
        </w:numPr>
        <w:spacing w:before="120" w:after="120" w:line="240" w:lineRule="auto"/>
        <w:rPr>
          <w:rFonts w:cstheme="minorHAnsi"/>
          <w:sz w:val="24"/>
          <w:szCs w:val="24"/>
        </w:rPr>
      </w:pPr>
      <w:r w:rsidRPr="004B6B4A">
        <w:rPr>
          <w:rFonts w:cstheme="minorHAnsi"/>
          <w:sz w:val="24"/>
          <w:szCs w:val="24"/>
        </w:rPr>
        <w:t>fair representation for electors.</w:t>
      </w:r>
    </w:p>
    <w:p w14:paraId="22492579" w14:textId="77777777" w:rsidR="00BE3E5C" w:rsidRPr="00005CC6" w:rsidRDefault="00BE3E5C" w:rsidP="00BE3E5C">
      <w:pPr>
        <w:pStyle w:val="Header"/>
        <w:rPr>
          <w:rFonts w:cstheme="minorHAnsi"/>
          <w:b/>
          <w:i/>
          <w:color w:val="000000" w:themeColor="text1"/>
          <w:sz w:val="24"/>
          <w:szCs w:val="24"/>
        </w:rPr>
      </w:pPr>
      <w:r w:rsidRPr="00005CC6">
        <w:rPr>
          <w:rFonts w:cstheme="minorHAnsi"/>
          <w:b/>
          <w:i/>
          <w:color w:val="000000" w:themeColor="text1"/>
          <w:sz w:val="24"/>
          <w:szCs w:val="24"/>
        </w:rPr>
        <w:t>Communities of interest</w:t>
      </w:r>
    </w:p>
    <w:p w14:paraId="6B2F4D19" w14:textId="77777777" w:rsidR="00BE3E5C" w:rsidRPr="004B6B4A" w:rsidRDefault="00BE3E5C" w:rsidP="00BE3E5C">
      <w:pPr>
        <w:pStyle w:val="ListParagraph"/>
        <w:numPr>
          <w:ilvl w:val="0"/>
          <w:numId w:val="25"/>
        </w:numPr>
        <w:spacing w:before="120" w:after="120" w:line="240" w:lineRule="auto"/>
        <w:ind w:hanging="720"/>
        <w:rPr>
          <w:rFonts w:cstheme="minorHAnsi"/>
          <w:sz w:val="24"/>
          <w:szCs w:val="24"/>
        </w:rPr>
      </w:pPr>
      <w:r w:rsidRPr="004B6B4A">
        <w:rPr>
          <w:rFonts w:cstheme="minorHAnsi"/>
          <w:sz w:val="24"/>
          <w:szCs w:val="24"/>
        </w:rPr>
        <w:t xml:space="preserve">We note regions must be divided into constituencies for electoral purposes (section 19E of the Act). </w:t>
      </w:r>
      <w:proofErr w:type="gramStart"/>
      <w:r w:rsidRPr="004B6B4A">
        <w:rPr>
          <w:rFonts w:cstheme="minorHAnsi"/>
          <w:sz w:val="24"/>
          <w:szCs w:val="24"/>
        </w:rPr>
        <w:t>For the purpose of</w:t>
      </w:r>
      <w:proofErr w:type="gramEnd"/>
      <w:r w:rsidRPr="004B6B4A">
        <w:rPr>
          <w:rFonts w:cstheme="minorHAnsi"/>
          <w:sz w:val="24"/>
          <w:szCs w:val="24"/>
        </w:rPr>
        <w:t xml:space="preserve"> effective representation of communities of interest, section 19U(c) requires constituency boundaries, so far as is practicable, to coincide with territorial authority boundaries or with territorial authority ward boundaries.</w:t>
      </w:r>
    </w:p>
    <w:p w14:paraId="10ADB67D" w14:textId="77777777" w:rsidR="00BE3E5C" w:rsidRPr="004B6B4A" w:rsidRDefault="00BE3E5C" w:rsidP="00BE3E5C">
      <w:pPr>
        <w:pStyle w:val="ListParagraph"/>
        <w:numPr>
          <w:ilvl w:val="0"/>
          <w:numId w:val="25"/>
        </w:numPr>
        <w:spacing w:before="120" w:after="120" w:line="240" w:lineRule="auto"/>
        <w:ind w:hanging="720"/>
        <w:rPr>
          <w:rFonts w:cstheme="minorHAnsi"/>
          <w:sz w:val="24"/>
          <w:szCs w:val="24"/>
        </w:rPr>
      </w:pPr>
      <w:r w:rsidRPr="004B6B4A">
        <w:rPr>
          <w:rFonts w:cstheme="minorHAnsi"/>
          <w:sz w:val="24"/>
          <w:szCs w:val="24"/>
        </w:rPr>
        <w:t>Given these requirements, we believe it is reasonable to take the communities of interest reflected in existing territorial authorities or their wards, as a starting point for communities of interest to be reflected in regional council constituencies.</w:t>
      </w:r>
    </w:p>
    <w:p w14:paraId="69B5B557" w14:textId="77777777" w:rsidR="009629DD" w:rsidRDefault="00BE3E5C" w:rsidP="00BE3E5C">
      <w:pPr>
        <w:pStyle w:val="ListParagraph"/>
        <w:numPr>
          <w:ilvl w:val="0"/>
          <w:numId w:val="25"/>
        </w:numPr>
        <w:spacing w:before="120" w:after="120" w:line="240" w:lineRule="auto"/>
        <w:ind w:hanging="720"/>
        <w:rPr>
          <w:rFonts w:cstheme="minorHAnsi"/>
          <w:sz w:val="24"/>
          <w:szCs w:val="24"/>
        </w:rPr>
      </w:pPr>
      <w:r w:rsidRPr="004B6B4A">
        <w:rPr>
          <w:rFonts w:cstheme="minorHAnsi"/>
          <w:sz w:val="24"/>
          <w:szCs w:val="24"/>
        </w:rPr>
        <w:t xml:space="preserve">In the case of the </w:t>
      </w:r>
      <w:r w:rsidR="003C6427">
        <w:rPr>
          <w:rFonts w:cstheme="minorHAnsi"/>
          <w:sz w:val="24"/>
          <w:szCs w:val="24"/>
        </w:rPr>
        <w:t>Manawatu-</w:t>
      </w:r>
      <w:r w:rsidRPr="004B6B4A">
        <w:rPr>
          <w:rFonts w:cstheme="minorHAnsi"/>
          <w:sz w:val="24"/>
          <w:szCs w:val="24"/>
        </w:rPr>
        <w:t>W</w:t>
      </w:r>
      <w:r w:rsidR="003C6427">
        <w:rPr>
          <w:rFonts w:cstheme="minorHAnsi"/>
          <w:sz w:val="24"/>
          <w:szCs w:val="24"/>
        </w:rPr>
        <w:t xml:space="preserve">anganui </w:t>
      </w:r>
      <w:r w:rsidRPr="004B6B4A">
        <w:rPr>
          <w:rFonts w:cstheme="minorHAnsi"/>
          <w:sz w:val="24"/>
          <w:szCs w:val="24"/>
        </w:rPr>
        <w:t xml:space="preserve">Region, the number of constituencies has been based on territorial authority boundaries since the constitution of the region in 1989. </w:t>
      </w:r>
    </w:p>
    <w:p w14:paraId="733E9D5E" w14:textId="4C200D5A" w:rsidR="00BE3E5C" w:rsidRPr="004B6B4A" w:rsidRDefault="009629DD" w:rsidP="00BE3E5C">
      <w:pPr>
        <w:pStyle w:val="ListParagraph"/>
        <w:numPr>
          <w:ilvl w:val="0"/>
          <w:numId w:val="25"/>
        </w:numPr>
        <w:spacing w:before="120" w:after="120" w:line="240" w:lineRule="auto"/>
        <w:ind w:hanging="720"/>
        <w:rPr>
          <w:rFonts w:cstheme="minorHAnsi"/>
          <w:sz w:val="24"/>
          <w:szCs w:val="24"/>
        </w:rPr>
      </w:pPr>
      <w:r>
        <w:rPr>
          <w:rFonts w:cstheme="minorHAnsi"/>
          <w:sz w:val="24"/>
          <w:szCs w:val="24"/>
        </w:rPr>
        <w:t>The number of constituencies</w:t>
      </w:r>
      <w:r w:rsidR="00BE3E5C" w:rsidRPr="004B6B4A">
        <w:rPr>
          <w:rFonts w:cstheme="minorHAnsi"/>
          <w:sz w:val="24"/>
          <w:szCs w:val="24"/>
        </w:rPr>
        <w:t xml:space="preserve"> </w:t>
      </w:r>
      <w:r>
        <w:rPr>
          <w:rFonts w:cstheme="minorHAnsi"/>
          <w:sz w:val="24"/>
          <w:szCs w:val="24"/>
        </w:rPr>
        <w:t xml:space="preserve">was </w:t>
      </w:r>
      <w:r w:rsidR="00BE3E5C" w:rsidRPr="004B6B4A">
        <w:rPr>
          <w:rFonts w:cstheme="minorHAnsi"/>
          <w:sz w:val="24"/>
          <w:szCs w:val="24"/>
        </w:rPr>
        <w:t xml:space="preserve">reduced to </w:t>
      </w:r>
      <w:r>
        <w:rPr>
          <w:rFonts w:cstheme="minorHAnsi"/>
          <w:sz w:val="24"/>
          <w:szCs w:val="24"/>
        </w:rPr>
        <w:t>the current six in 2007 with the combining of the then separate Rangitikei and Manawatu constituencies and a new division of the northern and southern areas of Manawatu District between the Manawatu-</w:t>
      </w:r>
      <w:r w:rsidR="003D2E3C">
        <w:rPr>
          <w:rFonts w:cstheme="minorHAnsi"/>
          <w:sz w:val="24"/>
          <w:szCs w:val="24"/>
        </w:rPr>
        <w:t>R</w:t>
      </w:r>
      <w:r>
        <w:rPr>
          <w:rFonts w:cstheme="minorHAnsi"/>
          <w:sz w:val="24"/>
          <w:szCs w:val="24"/>
        </w:rPr>
        <w:t xml:space="preserve">angitikei and </w:t>
      </w:r>
      <w:proofErr w:type="spellStart"/>
      <w:r w:rsidR="003D2E3C">
        <w:rPr>
          <w:rFonts w:cstheme="minorHAnsi"/>
          <w:sz w:val="24"/>
          <w:szCs w:val="24"/>
        </w:rPr>
        <w:t>Horowhenua-Kairanga</w:t>
      </w:r>
      <w:proofErr w:type="spellEnd"/>
      <w:r w:rsidR="003D2E3C">
        <w:rPr>
          <w:rFonts w:cstheme="minorHAnsi"/>
          <w:sz w:val="24"/>
          <w:szCs w:val="24"/>
        </w:rPr>
        <w:t xml:space="preserve"> constituencies</w:t>
      </w:r>
      <w:r w:rsidR="00BE3E5C" w:rsidRPr="004B6B4A">
        <w:rPr>
          <w:rFonts w:cstheme="minorHAnsi"/>
          <w:sz w:val="24"/>
          <w:szCs w:val="24"/>
        </w:rPr>
        <w:t xml:space="preserve">. </w:t>
      </w:r>
    </w:p>
    <w:p w14:paraId="442815AF" w14:textId="0E15A271" w:rsidR="00BE3E5C" w:rsidRPr="004B6B4A" w:rsidRDefault="00BE3E5C" w:rsidP="00BE3E5C">
      <w:pPr>
        <w:pStyle w:val="ListParagraph"/>
        <w:numPr>
          <w:ilvl w:val="0"/>
          <w:numId w:val="25"/>
        </w:numPr>
        <w:spacing w:before="120" w:after="120" w:line="240" w:lineRule="auto"/>
        <w:ind w:hanging="720"/>
        <w:rPr>
          <w:rFonts w:cstheme="minorHAnsi"/>
          <w:sz w:val="24"/>
          <w:szCs w:val="24"/>
        </w:rPr>
      </w:pPr>
      <w:r w:rsidRPr="004B6B4A">
        <w:rPr>
          <w:rFonts w:cstheme="minorHAnsi"/>
          <w:sz w:val="24"/>
          <w:szCs w:val="24"/>
        </w:rPr>
        <w:t xml:space="preserve">In its 2013 determination, the then Local Government Commission commented it </w:t>
      </w:r>
      <w:r w:rsidR="003D2E3C">
        <w:rPr>
          <w:rFonts w:cstheme="minorHAnsi"/>
          <w:sz w:val="24"/>
          <w:szCs w:val="24"/>
        </w:rPr>
        <w:t>consider</w:t>
      </w:r>
      <w:r w:rsidRPr="004B6B4A">
        <w:rPr>
          <w:rFonts w:cstheme="minorHAnsi"/>
          <w:sz w:val="24"/>
          <w:szCs w:val="24"/>
        </w:rPr>
        <w:t xml:space="preserve">ed that “the current </w:t>
      </w:r>
      <w:r w:rsidR="003D2E3C">
        <w:rPr>
          <w:rFonts w:cstheme="minorHAnsi"/>
          <w:sz w:val="24"/>
          <w:szCs w:val="24"/>
        </w:rPr>
        <w:t>constituency</w:t>
      </w:r>
      <w:r w:rsidRPr="004B6B4A">
        <w:rPr>
          <w:rFonts w:cstheme="minorHAnsi"/>
          <w:sz w:val="24"/>
          <w:szCs w:val="24"/>
        </w:rPr>
        <w:t xml:space="preserve"> boundaries continue to provide an appropriate basis for identifying communities of interest in the </w:t>
      </w:r>
      <w:r w:rsidR="003D2E3C">
        <w:rPr>
          <w:rFonts w:cstheme="minorHAnsi"/>
          <w:sz w:val="24"/>
          <w:szCs w:val="24"/>
        </w:rPr>
        <w:t>Manawatu-</w:t>
      </w:r>
      <w:r w:rsidRPr="004B6B4A">
        <w:rPr>
          <w:rFonts w:cstheme="minorHAnsi"/>
          <w:sz w:val="24"/>
          <w:szCs w:val="24"/>
        </w:rPr>
        <w:t>W</w:t>
      </w:r>
      <w:r w:rsidR="003D2E3C">
        <w:rPr>
          <w:rFonts w:cstheme="minorHAnsi"/>
          <w:sz w:val="24"/>
          <w:szCs w:val="24"/>
        </w:rPr>
        <w:t>anganui</w:t>
      </w:r>
      <w:r w:rsidRPr="004B6B4A">
        <w:rPr>
          <w:rFonts w:cstheme="minorHAnsi"/>
          <w:sz w:val="24"/>
          <w:szCs w:val="24"/>
        </w:rPr>
        <w:t xml:space="preserve"> Region</w:t>
      </w:r>
      <w:r w:rsidR="003D2E3C">
        <w:rPr>
          <w:rFonts w:cstheme="minorHAnsi"/>
          <w:sz w:val="24"/>
          <w:szCs w:val="24"/>
        </w:rPr>
        <w:t>. The constituencies appear to reflect communities of inter</w:t>
      </w:r>
      <w:r w:rsidR="0018603B">
        <w:rPr>
          <w:rFonts w:cstheme="minorHAnsi"/>
          <w:sz w:val="24"/>
          <w:szCs w:val="24"/>
        </w:rPr>
        <w:t>e</w:t>
      </w:r>
      <w:r w:rsidR="003D2E3C">
        <w:rPr>
          <w:rFonts w:cstheme="minorHAnsi"/>
          <w:sz w:val="24"/>
          <w:szCs w:val="24"/>
        </w:rPr>
        <w:t>st</w:t>
      </w:r>
      <w:r w:rsidR="0018603B">
        <w:rPr>
          <w:rFonts w:cstheme="minorHAnsi"/>
          <w:sz w:val="24"/>
          <w:szCs w:val="24"/>
        </w:rPr>
        <w:t xml:space="preserve"> and be of a size that permits reasonable access to elected members.</w:t>
      </w:r>
      <w:r w:rsidRPr="004B6B4A">
        <w:rPr>
          <w:rFonts w:cstheme="minorHAnsi"/>
          <w:sz w:val="24"/>
          <w:szCs w:val="24"/>
        </w:rPr>
        <w:t>”</w:t>
      </w:r>
    </w:p>
    <w:p w14:paraId="50D4C233" w14:textId="77777777" w:rsidR="00BE3E5C" w:rsidRPr="00005CC6" w:rsidRDefault="00BE3E5C" w:rsidP="00BE3E5C">
      <w:pPr>
        <w:pStyle w:val="Header"/>
        <w:rPr>
          <w:rFonts w:cstheme="minorHAnsi"/>
          <w:b/>
          <w:i/>
          <w:color w:val="000000" w:themeColor="text1"/>
          <w:sz w:val="24"/>
          <w:szCs w:val="24"/>
        </w:rPr>
      </w:pPr>
      <w:r w:rsidRPr="00005CC6">
        <w:rPr>
          <w:rFonts w:cstheme="minorHAnsi"/>
          <w:b/>
          <w:i/>
          <w:color w:val="000000" w:themeColor="text1"/>
          <w:sz w:val="24"/>
          <w:szCs w:val="24"/>
        </w:rPr>
        <w:t>Effective representation of communities of interest</w:t>
      </w:r>
    </w:p>
    <w:p w14:paraId="0D2B0063" w14:textId="77777777" w:rsidR="00BE3E5C" w:rsidRPr="004B6B4A" w:rsidRDefault="00BE3E5C" w:rsidP="00BE3E5C">
      <w:pPr>
        <w:pStyle w:val="ListParagraph"/>
        <w:numPr>
          <w:ilvl w:val="0"/>
          <w:numId w:val="25"/>
        </w:numPr>
        <w:spacing w:before="120" w:after="120" w:line="240" w:lineRule="auto"/>
        <w:ind w:hanging="720"/>
        <w:rPr>
          <w:rFonts w:cstheme="minorHAnsi"/>
          <w:sz w:val="24"/>
          <w:szCs w:val="24"/>
        </w:rPr>
      </w:pPr>
      <w:r w:rsidRPr="004B6B4A">
        <w:rPr>
          <w:rFonts w:cstheme="minorHAnsi"/>
          <w:color w:val="000000" w:themeColor="text1"/>
          <w:sz w:val="24"/>
          <w:szCs w:val="24"/>
        </w:rPr>
        <w:t>The Commission’s Guidelines note that what constitutes effective representation will be specific to each local authority but that the following factors should be considered to the extent possible:</w:t>
      </w:r>
    </w:p>
    <w:p w14:paraId="45BA91FB" w14:textId="77777777" w:rsidR="00BE3E5C" w:rsidRPr="004B6B4A" w:rsidRDefault="00BE3E5C" w:rsidP="00BE3E5C">
      <w:pPr>
        <w:pStyle w:val="ListParagraph"/>
        <w:numPr>
          <w:ilvl w:val="1"/>
          <w:numId w:val="25"/>
        </w:numPr>
        <w:spacing w:before="120" w:after="120" w:line="240" w:lineRule="auto"/>
        <w:rPr>
          <w:rFonts w:cstheme="minorHAnsi"/>
          <w:sz w:val="24"/>
          <w:szCs w:val="24"/>
        </w:rPr>
      </w:pPr>
      <w:r w:rsidRPr="004B6B4A">
        <w:rPr>
          <w:rFonts w:cstheme="minorHAnsi"/>
          <w:color w:val="000000" w:themeColor="text1"/>
          <w:sz w:val="24"/>
          <w:szCs w:val="24"/>
        </w:rPr>
        <w:t xml:space="preserve">avoiding arrangements that may create barriers to participation, such as at elections by not </w:t>
      </w:r>
      <w:proofErr w:type="spellStart"/>
      <w:r w:rsidRPr="004B6B4A">
        <w:rPr>
          <w:rFonts w:cstheme="minorHAnsi"/>
          <w:color w:val="000000" w:themeColor="text1"/>
          <w:sz w:val="24"/>
          <w:szCs w:val="24"/>
        </w:rPr>
        <w:t>recognising</w:t>
      </w:r>
      <w:proofErr w:type="spellEnd"/>
      <w:r w:rsidRPr="004B6B4A">
        <w:rPr>
          <w:rFonts w:cstheme="minorHAnsi"/>
          <w:color w:val="000000" w:themeColor="text1"/>
          <w:sz w:val="24"/>
          <w:szCs w:val="24"/>
        </w:rPr>
        <w:t xml:space="preserve"> residents’ familiarity and identity with an area</w:t>
      </w:r>
    </w:p>
    <w:p w14:paraId="217F36FB" w14:textId="77777777" w:rsidR="00BE3E5C" w:rsidRPr="004B6B4A" w:rsidRDefault="00BE3E5C" w:rsidP="00BE3E5C">
      <w:pPr>
        <w:pStyle w:val="ListParagraph"/>
        <w:numPr>
          <w:ilvl w:val="1"/>
          <w:numId w:val="25"/>
        </w:numPr>
        <w:spacing w:before="120" w:after="120" w:line="240" w:lineRule="auto"/>
        <w:rPr>
          <w:rFonts w:cstheme="minorHAnsi"/>
          <w:sz w:val="24"/>
          <w:szCs w:val="24"/>
        </w:rPr>
      </w:pPr>
      <w:r w:rsidRPr="004B6B4A">
        <w:rPr>
          <w:rFonts w:cstheme="minorHAnsi"/>
          <w:color w:val="000000" w:themeColor="text1"/>
          <w:sz w:val="24"/>
          <w:szCs w:val="24"/>
        </w:rPr>
        <w:t xml:space="preserve">not splitting </w:t>
      </w:r>
      <w:proofErr w:type="spellStart"/>
      <w:r w:rsidRPr="004B6B4A">
        <w:rPr>
          <w:rFonts w:cstheme="minorHAnsi"/>
          <w:color w:val="000000" w:themeColor="text1"/>
          <w:sz w:val="24"/>
          <w:szCs w:val="24"/>
        </w:rPr>
        <w:t>recognised</w:t>
      </w:r>
      <w:proofErr w:type="spellEnd"/>
      <w:r w:rsidRPr="004B6B4A">
        <w:rPr>
          <w:rFonts w:cstheme="minorHAnsi"/>
          <w:color w:val="000000" w:themeColor="text1"/>
          <w:sz w:val="24"/>
          <w:szCs w:val="24"/>
        </w:rPr>
        <w:t xml:space="preserve"> communities of interest between electoral subdivisions</w:t>
      </w:r>
    </w:p>
    <w:p w14:paraId="286D0B22" w14:textId="77777777" w:rsidR="00BE3E5C" w:rsidRPr="004B6B4A" w:rsidRDefault="00BE3E5C" w:rsidP="00BE3E5C">
      <w:pPr>
        <w:pStyle w:val="ListParagraph"/>
        <w:numPr>
          <w:ilvl w:val="1"/>
          <w:numId w:val="25"/>
        </w:numPr>
        <w:spacing w:before="120" w:after="120" w:line="240" w:lineRule="auto"/>
        <w:rPr>
          <w:rFonts w:cstheme="minorHAnsi"/>
          <w:sz w:val="24"/>
          <w:szCs w:val="24"/>
        </w:rPr>
      </w:pPr>
      <w:r w:rsidRPr="004B6B4A">
        <w:rPr>
          <w:rFonts w:cstheme="minorHAnsi"/>
          <w:color w:val="000000" w:themeColor="text1"/>
          <w:sz w:val="24"/>
          <w:szCs w:val="24"/>
        </w:rPr>
        <w:t>not grouping together two or more communities of interest that share few commonalities of interest</w:t>
      </w:r>
    </w:p>
    <w:p w14:paraId="7A50E9EB" w14:textId="77777777" w:rsidR="00BE3E5C" w:rsidRPr="004B6B4A" w:rsidRDefault="00BE3E5C" w:rsidP="00BE3E5C">
      <w:pPr>
        <w:pStyle w:val="ListParagraph"/>
        <w:numPr>
          <w:ilvl w:val="1"/>
          <w:numId w:val="25"/>
        </w:numPr>
        <w:spacing w:before="120" w:after="120" w:line="240" w:lineRule="auto"/>
        <w:rPr>
          <w:rFonts w:cstheme="minorHAnsi"/>
          <w:sz w:val="24"/>
          <w:szCs w:val="24"/>
        </w:rPr>
      </w:pPr>
      <w:r w:rsidRPr="004B6B4A">
        <w:rPr>
          <w:rFonts w:cstheme="minorHAnsi"/>
          <w:color w:val="000000" w:themeColor="text1"/>
          <w:sz w:val="24"/>
          <w:szCs w:val="24"/>
        </w:rPr>
        <w:t>accessibility, size and configuration of an area including access to elected members and vice versa.</w:t>
      </w:r>
    </w:p>
    <w:p w14:paraId="0D2AE305" w14:textId="4AC5AAB9" w:rsidR="00BE3E5C" w:rsidRPr="00FA5EA1" w:rsidRDefault="0018603B" w:rsidP="00BE3E5C">
      <w:pPr>
        <w:pStyle w:val="ListParagraph"/>
        <w:numPr>
          <w:ilvl w:val="0"/>
          <w:numId w:val="25"/>
        </w:numPr>
        <w:spacing w:before="120" w:after="120" w:line="240" w:lineRule="auto"/>
        <w:ind w:hanging="720"/>
        <w:rPr>
          <w:rFonts w:cstheme="minorHAnsi"/>
          <w:sz w:val="24"/>
          <w:szCs w:val="24"/>
        </w:rPr>
      </w:pPr>
      <w:r>
        <w:rPr>
          <w:rFonts w:cstheme="minorHAnsi"/>
          <w:color w:val="000000" w:themeColor="text1"/>
          <w:sz w:val="24"/>
          <w:szCs w:val="24"/>
        </w:rPr>
        <w:t xml:space="preserve">As noted, the current representation arrangements </w:t>
      </w:r>
      <w:r w:rsidR="002525A9">
        <w:rPr>
          <w:rFonts w:cstheme="minorHAnsi"/>
          <w:color w:val="000000" w:themeColor="text1"/>
          <w:sz w:val="24"/>
          <w:szCs w:val="24"/>
        </w:rPr>
        <w:t xml:space="preserve">for the Manawatu-Wanganui Region, </w:t>
      </w:r>
      <w:r>
        <w:rPr>
          <w:rFonts w:cstheme="minorHAnsi"/>
          <w:color w:val="000000" w:themeColor="text1"/>
          <w:sz w:val="24"/>
          <w:szCs w:val="24"/>
        </w:rPr>
        <w:t xml:space="preserve">comprising 12 </w:t>
      </w:r>
      <w:proofErr w:type="spellStart"/>
      <w:r>
        <w:rPr>
          <w:rFonts w:cstheme="minorHAnsi"/>
          <w:color w:val="000000" w:themeColor="text1"/>
          <w:sz w:val="24"/>
          <w:szCs w:val="24"/>
        </w:rPr>
        <w:t>councillors</w:t>
      </w:r>
      <w:proofErr w:type="spellEnd"/>
      <w:r>
        <w:rPr>
          <w:rFonts w:cstheme="minorHAnsi"/>
          <w:color w:val="000000" w:themeColor="text1"/>
          <w:sz w:val="24"/>
          <w:szCs w:val="24"/>
        </w:rPr>
        <w:t xml:space="preserve"> elected from six constituencies</w:t>
      </w:r>
      <w:r w:rsidR="002525A9">
        <w:rPr>
          <w:rFonts w:cstheme="minorHAnsi"/>
          <w:color w:val="000000" w:themeColor="text1"/>
          <w:sz w:val="24"/>
          <w:szCs w:val="24"/>
        </w:rPr>
        <w:t>,</w:t>
      </w:r>
      <w:r>
        <w:rPr>
          <w:rFonts w:cstheme="minorHAnsi"/>
          <w:color w:val="000000" w:themeColor="text1"/>
          <w:sz w:val="24"/>
          <w:szCs w:val="24"/>
        </w:rPr>
        <w:t xml:space="preserve"> w</w:t>
      </w:r>
      <w:r w:rsidR="002525A9">
        <w:rPr>
          <w:rFonts w:cstheme="minorHAnsi"/>
          <w:color w:val="000000" w:themeColor="text1"/>
          <w:sz w:val="24"/>
          <w:szCs w:val="24"/>
        </w:rPr>
        <w:t>ere</w:t>
      </w:r>
      <w:r>
        <w:rPr>
          <w:rFonts w:cstheme="minorHAnsi"/>
          <w:color w:val="000000" w:themeColor="text1"/>
          <w:sz w:val="24"/>
          <w:szCs w:val="24"/>
        </w:rPr>
        <w:t xml:space="preserve"> introduced in 2007. </w:t>
      </w:r>
      <w:r w:rsidR="00FA5EA1">
        <w:rPr>
          <w:rFonts w:cstheme="minorHAnsi"/>
          <w:color w:val="000000" w:themeColor="text1"/>
          <w:sz w:val="24"/>
          <w:szCs w:val="24"/>
        </w:rPr>
        <w:t>The boundaries of four of these</w:t>
      </w:r>
      <w:r>
        <w:rPr>
          <w:rFonts w:cstheme="minorHAnsi"/>
          <w:color w:val="000000" w:themeColor="text1"/>
          <w:sz w:val="24"/>
          <w:szCs w:val="24"/>
        </w:rPr>
        <w:t xml:space="preserve"> constituencies </w:t>
      </w:r>
      <w:r w:rsidR="00FA5EA1">
        <w:rPr>
          <w:rFonts w:cstheme="minorHAnsi"/>
          <w:color w:val="000000" w:themeColor="text1"/>
          <w:sz w:val="24"/>
          <w:szCs w:val="24"/>
        </w:rPr>
        <w:t xml:space="preserve">mirror the boundaries of </w:t>
      </w:r>
      <w:r w:rsidR="000B7977">
        <w:rPr>
          <w:rFonts w:cstheme="minorHAnsi"/>
          <w:color w:val="000000" w:themeColor="text1"/>
          <w:sz w:val="24"/>
          <w:szCs w:val="24"/>
        </w:rPr>
        <w:t xml:space="preserve">the </w:t>
      </w:r>
      <w:r w:rsidR="00FA5EA1">
        <w:rPr>
          <w:rFonts w:cstheme="minorHAnsi"/>
          <w:color w:val="000000" w:themeColor="text1"/>
          <w:sz w:val="24"/>
          <w:szCs w:val="24"/>
        </w:rPr>
        <w:t>territorial authority for that area (Ruapehu</w:t>
      </w:r>
      <w:r w:rsidR="009D24A8">
        <w:rPr>
          <w:rStyle w:val="FootnoteReference"/>
          <w:rFonts w:cstheme="minorHAnsi"/>
          <w:color w:val="000000" w:themeColor="text1"/>
          <w:szCs w:val="24"/>
        </w:rPr>
        <w:footnoteReference w:id="1"/>
      </w:r>
      <w:r w:rsidR="00FA5EA1">
        <w:rPr>
          <w:rFonts w:cstheme="minorHAnsi"/>
          <w:color w:val="000000" w:themeColor="text1"/>
          <w:sz w:val="24"/>
          <w:szCs w:val="24"/>
        </w:rPr>
        <w:t xml:space="preserve">, Wanganui, Palmerston North and </w:t>
      </w:r>
      <w:proofErr w:type="spellStart"/>
      <w:r w:rsidR="00FA5EA1">
        <w:rPr>
          <w:rFonts w:cstheme="minorHAnsi"/>
          <w:color w:val="000000" w:themeColor="text1"/>
          <w:sz w:val="24"/>
          <w:szCs w:val="24"/>
        </w:rPr>
        <w:t>Tararua</w:t>
      </w:r>
      <w:proofErr w:type="spellEnd"/>
      <w:r w:rsidR="00FA5EA1">
        <w:rPr>
          <w:rFonts w:cstheme="minorHAnsi"/>
          <w:color w:val="000000" w:themeColor="text1"/>
          <w:sz w:val="24"/>
          <w:szCs w:val="24"/>
        </w:rPr>
        <w:t xml:space="preserve">). </w:t>
      </w:r>
      <w:r>
        <w:rPr>
          <w:rFonts w:cstheme="minorHAnsi"/>
          <w:color w:val="000000" w:themeColor="text1"/>
          <w:sz w:val="24"/>
          <w:szCs w:val="24"/>
        </w:rPr>
        <w:t xml:space="preserve"> As such, they </w:t>
      </w:r>
      <w:r w:rsidR="00FA5EA1">
        <w:rPr>
          <w:rFonts w:cstheme="minorHAnsi"/>
          <w:color w:val="000000" w:themeColor="text1"/>
          <w:sz w:val="24"/>
          <w:szCs w:val="24"/>
        </w:rPr>
        <w:t xml:space="preserve">can be </w:t>
      </w:r>
      <w:r w:rsidR="001B2364">
        <w:rPr>
          <w:rFonts w:cstheme="minorHAnsi"/>
          <w:color w:val="000000" w:themeColor="text1"/>
          <w:sz w:val="24"/>
          <w:szCs w:val="24"/>
        </w:rPr>
        <w:t xml:space="preserve">seen </w:t>
      </w:r>
      <w:r w:rsidR="00FA5EA1">
        <w:rPr>
          <w:rFonts w:cstheme="minorHAnsi"/>
          <w:color w:val="000000" w:themeColor="text1"/>
          <w:sz w:val="24"/>
          <w:szCs w:val="24"/>
        </w:rPr>
        <w:t>to</w:t>
      </w:r>
      <w:r w:rsidR="002525A9">
        <w:rPr>
          <w:rFonts w:cstheme="minorHAnsi"/>
          <w:color w:val="000000" w:themeColor="text1"/>
          <w:sz w:val="24"/>
          <w:szCs w:val="24"/>
        </w:rPr>
        <w:t xml:space="preserve"> </w:t>
      </w:r>
      <w:r w:rsidR="001B2364">
        <w:rPr>
          <w:rFonts w:cstheme="minorHAnsi"/>
          <w:color w:val="000000" w:themeColor="text1"/>
          <w:sz w:val="24"/>
          <w:szCs w:val="24"/>
        </w:rPr>
        <w:t>be well-</w:t>
      </w:r>
      <w:r w:rsidR="00BE3E5C" w:rsidRPr="004B6B4A">
        <w:rPr>
          <w:rFonts w:cstheme="minorHAnsi"/>
          <w:color w:val="000000" w:themeColor="text1"/>
          <w:sz w:val="24"/>
          <w:szCs w:val="24"/>
        </w:rPr>
        <w:t>established and familiar to residents</w:t>
      </w:r>
      <w:r w:rsidR="002525A9">
        <w:rPr>
          <w:rFonts w:cstheme="minorHAnsi"/>
          <w:color w:val="000000" w:themeColor="text1"/>
          <w:sz w:val="24"/>
          <w:szCs w:val="24"/>
        </w:rPr>
        <w:t>, and accordingly not create unnecessary barriers to resident participation.</w:t>
      </w:r>
    </w:p>
    <w:p w14:paraId="786E5C33" w14:textId="39E398C6" w:rsidR="003A3262" w:rsidRPr="003A3262" w:rsidRDefault="00FA5EA1" w:rsidP="00BE3E5C">
      <w:pPr>
        <w:pStyle w:val="ListParagraph"/>
        <w:numPr>
          <w:ilvl w:val="0"/>
          <w:numId w:val="25"/>
        </w:numPr>
        <w:spacing w:before="120" w:after="120" w:line="240" w:lineRule="auto"/>
        <w:ind w:hanging="720"/>
        <w:rPr>
          <w:rFonts w:cstheme="minorHAnsi"/>
          <w:sz w:val="24"/>
          <w:szCs w:val="24"/>
        </w:rPr>
      </w:pPr>
      <w:r>
        <w:rPr>
          <w:rFonts w:cstheme="minorHAnsi"/>
          <w:color w:val="000000" w:themeColor="text1"/>
          <w:sz w:val="24"/>
          <w:szCs w:val="24"/>
        </w:rPr>
        <w:t>The other two constituencies are Manawatu-Rangitikei Constituency (combining Rangitikei District and most of Manawatu District)</w:t>
      </w:r>
      <w:r w:rsidR="000B1710">
        <w:rPr>
          <w:rStyle w:val="FootnoteReference"/>
          <w:rFonts w:cstheme="minorHAnsi"/>
          <w:color w:val="000000" w:themeColor="text1"/>
          <w:szCs w:val="24"/>
        </w:rPr>
        <w:footnoteReference w:id="2"/>
      </w:r>
      <w:r w:rsidR="003A3262">
        <w:rPr>
          <w:rFonts w:cstheme="minorHAnsi"/>
          <w:color w:val="000000" w:themeColor="text1"/>
          <w:sz w:val="24"/>
          <w:szCs w:val="24"/>
        </w:rPr>
        <w:t xml:space="preserve"> and </w:t>
      </w:r>
      <w:proofErr w:type="spellStart"/>
      <w:r w:rsidR="003A3262">
        <w:rPr>
          <w:rFonts w:cstheme="minorHAnsi"/>
          <w:color w:val="000000" w:themeColor="text1"/>
          <w:sz w:val="24"/>
          <w:szCs w:val="24"/>
        </w:rPr>
        <w:t>Horowhenua-Kairanga</w:t>
      </w:r>
      <w:proofErr w:type="spellEnd"/>
      <w:r w:rsidR="003A3262">
        <w:rPr>
          <w:rFonts w:cstheme="minorHAnsi"/>
          <w:color w:val="000000" w:themeColor="text1"/>
          <w:sz w:val="24"/>
          <w:szCs w:val="24"/>
        </w:rPr>
        <w:t xml:space="preserve"> Constituency (combining </w:t>
      </w:r>
      <w:proofErr w:type="spellStart"/>
      <w:r w:rsidR="003A3262">
        <w:rPr>
          <w:rFonts w:cstheme="minorHAnsi"/>
          <w:color w:val="000000" w:themeColor="text1"/>
          <w:sz w:val="24"/>
          <w:szCs w:val="24"/>
        </w:rPr>
        <w:t>Horowhenua</w:t>
      </w:r>
      <w:proofErr w:type="spellEnd"/>
      <w:r w:rsidR="003A3262">
        <w:rPr>
          <w:rFonts w:cstheme="minorHAnsi"/>
          <w:color w:val="000000" w:themeColor="text1"/>
          <w:sz w:val="24"/>
          <w:szCs w:val="24"/>
        </w:rPr>
        <w:t xml:space="preserve"> District and one ward of Manawatu District).</w:t>
      </w:r>
    </w:p>
    <w:p w14:paraId="562C2B92" w14:textId="1EB89CC1" w:rsidR="00FA5EA1" w:rsidRPr="009942AC" w:rsidRDefault="003A3262" w:rsidP="00BE3E5C">
      <w:pPr>
        <w:pStyle w:val="ListParagraph"/>
        <w:numPr>
          <w:ilvl w:val="0"/>
          <w:numId w:val="25"/>
        </w:numPr>
        <w:spacing w:before="120" w:after="120" w:line="240" w:lineRule="auto"/>
        <w:ind w:hanging="720"/>
        <w:rPr>
          <w:rFonts w:cstheme="minorHAnsi"/>
          <w:sz w:val="24"/>
          <w:szCs w:val="24"/>
        </w:rPr>
      </w:pPr>
      <w:r>
        <w:rPr>
          <w:rFonts w:cstheme="minorHAnsi"/>
          <w:color w:val="000000" w:themeColor="text1"/>
          <w:sz w:val="24"/>
          <w:szCs w:val="24"/>
        </w:rPr>
        <w:t xml:space="preserve">It was noted at the hearing that Manawatu District Council, as part of its own representation review, has now resolved to combine its two rural wards. This has resulted in the removal of a ward boundary which also serves as a regional constituency boundary (the boundary between the Manawatu-Rangitikei and </w:t>
      </w:r>
      <w:proofErr w:type="spellStart"/>
      <w:r>
        <w:rPr>
          <w:rFonts w:cstheme="minorHAnsi"/>
          <w:color w:val="000000" w:themeColor="text1"/>
          <w:sz w:val="24"/>
          <w:szCs w:val="24"/>
        </w:rPr>
        <w:t>Horowhenua-Kairanga</w:t>
      </w:r>
      <w:proofErr w:type="spellEnd"/>
      <w:r>
        <w:rPr>
          <w:rFonts w:cstheme="minorHAnsi"/>
          <w:color w:val="000000" w:themeColor="text1"/>
          <w:sz w:val="24"/>
          <w:szCs w:val="24"/>
        </w:rPr>
        <w:t xml:space="preserve"> constituencies).</w:t>
      </w:r>
    </w:p>
    <w:p w14:paraId="0B367E72" w14:textId="2E041E46" w:rsidR="0044019C" w:rsidRPr="0044019C" w:rsidRDefault="0052525F" w:rsidP="00BE3E5C">
      <w:pPr>
        <w:pStyle w:val="ListParagraph"/>
        <w:numPr>
          <w:ilvl w:val="0"/>
          <w:numId w:val="25"/>
        </w:numPr>
        <w:spacing w:before="120" w:after="120" w:line="240" w:lineRule="auto"/>
        <w:ind w:hanging="720"/>
        <w:rPr>
          <w:rFonts w:cstheme="minorHAnsi"/>
          <w:sz w:val="24"/>
          <w:szCs w:val="24"/>
        </w:rPr>
      </w:pPr>
      <w:r>
        <w:rPr>
          <w:rFonts w:cstheme="minorHAnsi"/>
          <w:color w:val="000000" w:themeColor="text1"/>
          <w:sz w:val="24"/>
          <w:szCs w:val="24"/>
        </w:rPr>
        <w:t>As it is required</w:t>
      </w:r>
      <w:r w:rsidR="0044019C">
        <w:rPr>
          <w:rFonts w:cstheme="minorHAnsi"/>
          <w:color w:val="000000" w:themeColor="text1"/>
          <w:sz w:val="24"/>
          <w:szCs w:val="24"/>
        </w:rPr>
        <w:t>,</w:t>
      </w:r>
      <w:r>
        <w:rPr>
          <w:rFonts w:cstheme="minorHAnsi"/>
          <w:color w:val="000000" w:themeColor="text1"/>
          <w:sz w:val="24"/>
          <w:szCs w:val="24"/>
        </w:rPr>
        <w:t xml:space="preserve"> by section 19U(c) of the Act</w:t>
      </w:r>
      <w:r w:rsidR="0044019C">
        <w:rPr>
          <w:rFonts w:cstheme="minorHAnsi"/>
          <w:color w:val="000000" w:themeColor="text1"/>
          <w:sz w:val="24"/>
          <w:szCs w:val="24"/>
        </w:rPr>
        <w:t>,</w:t>
      </w:r>
      <w:r>
        <w:rPr>
          <w:rFonts w:cstheme="minorHAnsi"/>
          <w:color w:val="000000" w:themeColor="text1"/>
          <w:sz w:val="24"/>
          <w:szCs w:val="24"/>
        </w:rPr>
        <w:t xml:space="preserve"> for constituency boundaries, as far as practicable, to coincide with territorial authority or territorial authority ward boundaries, we raised with the council possible options for altering this constituency boundary. </w:t>
      </w:r>
      <w:r w:rsidR="0044019C">
        <w:rPr>
          <w:rFonts w:cstheme="minorHAnsi"/>
          <w:color w:val="000000" w:themeColor="text1"/>
          <w:sz w:val="24"/>
          <w:szCs w:val="24"/>
        </w:rPr>
        <w:t>The council representatives did not identify one preferred option though they had commented there did not appear to be concern about the continued combining of Rangitikei District with Manawatu in a single constituency.</w:t>
      </w:r>
    </w:p>
    <w:p w14:paraId="2B62631E" w14:textId="387994FC" w:rsidR="009942AC" w:rsidRPr="004B6B4A" w:rsidRDefault="00FC5259" w:rsidP="00BE3E5C">
      <w:pPr>
        <w:pStyle w:val="ListParagraph"/>
        <w:numPr>
          <w:ilvl w:val="0"/>
          <w:numId w:val="25"/>
        </w:numPr>
        <w:spacing w:before="120" w:after="120" w:line="240" w:lineRule="auto"/>
        <w:ind w:hanging="720"/>
        <w:rPr>
          <w:rFonts w:cstheme="minorHAnsi"/>
          <w:sz w:val="24"/>
          <w:szCs w:val="24"/>
        </w:rPr>
      </w:pPr>
      <w:r>
        <w:rPr>
          <w:rFonts w:cstheme="minorHAnsi"/>
          <w:color w:val="000000" w:themeColor="text1"/>
          <w:sz w:val="24"/>
          <w:szCs w:val="24"/>
        </w:rPr>
        <w:t>After further consideration of the options, w</w:t>
      </w:r>
      <w:r w:rsidR="0052525F">
        <w:rPr>
          <w:rFonts w:cstheme="minorHAnsi"/>
          <w:color w:val="000000" w:themeColor="text1"/>
          <w:sz w:val="24"/>
          <w:szCs w:val="24"/>
        </w:rPr>
        <w:t xml:space="preserve">e have decided the most appropriate option to achieve effective representation for the communities of interest concerned is the extension of the Manawatu-Rangitikei Constituency southward </w:t>
      </w:r>
      <w:proofErr w:type="gramStart"/>
      <w:r w:rsidR="0052525F">
        <w:rPr>
          <w:rFonts w:cstheme="minorHAnsi"/>
          <w:color w:val="000000" w:themeColor="text1"/>
          <w:sz w:val="24"/>
          <w:szCs w:val="24"/>
        </w:rPr>
        <w:t>so as to</w:t>
      </w:r>
      <w:proofErr w:type="gramEnd"/>
      <w:r w:rsidR="0052525F">
        <w:rPr>
          <w:rFonts w:cstheme="minorHAnsi"/>
          <w:color w:val="000000" w:themeColor="text1"/>
          <w:sz w:val="24"/>
          <w:szCs w:val="24"/>
        </w:rPr>
        <w:t xml:space="preserve"> include all Manawatu District in this constituency</w:t>
      </w:r>
      <w:r w:rsidR="0044019C">
        <w:rPr>
          <w:rFonts w:cstheme="minorHAnsi"/>
          <w:color w:val="000000" w:themeColor="text1"/>
          <w:sz w:val="24"/>
          <w:szCs w:val="24"/>
        </w:rPr>
        <w:t>,</w:t>
      </w:r>
      <w:r>
        <w:rPr>
          <w:rFonts w:cstheme="minorHAnsi"/>
          <w:color w:val="000000" w:themeColor="text1"/>
          <w:sz w:val="24"/>
          <w:szCs w:val="24"/>
        </w:rPr>
        <w:t xml:space="preserve"> while keeping total membership of the council at 12</w:t>
      </w:r>
      <w:r w:rsidR="0052525F">
        <w:rPr>
          <w:rFonts w:cstheme="minorHAnsi"/>
          <w:color w:val="000000" w:themeColor="text1"/>
          <w:sz w:val="24"/>
          <w:szCs w:val="24"/>
        </w:rPr>
        <w:t xml:space="preserve">. </w:t>
      </w:r>
    </w:p>
    <w:p w14:paraId="2F5E8865" w14:textId="3A467FE5" w:rsidR="00BE3E5C" w:rsidRPr="00005CC6" w:rsidRDefault="00BE3E5C" w:rsidP="00BE3E5C">
      <w:pPr>
        <w:pStyle w:val="Header"/>
        <w:rPr>
          <w:rFonts w:cstheme="minorHAnsi"/>
          <w:b/>
          <w:i/>
          <w:color w:val="000000" w:themeColor="text1"/>
          <w:sz w:val="24"/>
          <w:szCs w:val="24"/>
        </w:rPr>
      </w:pPr>
      <w:r w:rsidRPr="00005CC6">
        <w:rPr>
          <w:rFonts w:cstheme="minorHAnsi"/>
          <w:b/>
          <w:i/>
          <w:color w:val="000000" w:themeColor="text1"/>
          <w:sz w:val="24"/>
          <w:szCs w:val="24"/>
        </w:rPr>
        <w:t>Fair representation for electors</w:t>
      </w:r>
    </w:p>
    <w:p w14:paraId="58A34B94" w14:textId="77777777" w:rsidR="00BE3E5C" w:rsidRPr="004B6B4A" w:rsidRDefault="00BE3E5C" w:rsidP="00BE3E5C">
      <w:pPr>
        <w:pStyle w:val="ListParagraph"/>
        <w:numPr>
          <w:ilvl w:val="0"/>
          <w:numId w:val="25"/>
        </w:numPr>
        <w:spacing w:before="120" w:after="120" w:line="240" w:lineRule="auto"/>
        <w:ind w:hanging="720"/>
        <w:rPr>
          <w:rFonts w:cstheme="minorHAnsi"/>
          <w:sz w:val="24"/>
          <w:szCs w:val="24"/>
        </w:rPr>
      </w:pPr>
      <w:r w:rsidRPr="004B6B4A">
        <w:rPr>
          <w:rFonts w:cstheme="minorHAnsi"/>
          <w:color w:val="000000" w:themeColor="text1"/>
          <w:sz w:val="24"/>
          <w:szCs w:val="24"/>
        </w:rPr>
        <w:t>Section 19</w:t>
      </w:r>
      <w:proofErr w:type="gramStart"/>
      <w:r w:rsidRPr="004B6B4A">
        <w:rPr>
          <w:rFonts w:cstheme="minorHAnsi"/>
          <w:color w:val="000000" w:themeColor="text1"/>
          <w:sz w:val="24"/>
          <w:szCs w:val="24"/>
        </w:rPr>
        <w:t>V(</w:t>
      </w:r>
      <w:proofErr w:type="gramEnd"/>
      <w:r w:rsidRPr="004B6B4A">
        <w:rPr>
          <w:rFonts w:cstheme="minorHAnsi"/>
          <w:color w:val="000000" w:themeColor="text1"/>
          <w:sz w:val="24"/>
          <w:szCs w:val="24"/>
        </w:rPr>
        <w:t>2) of the Act requires that the population of each constituency divided by the number of members to be elected by that constituency must produce a figure no more than 10 per cent greater or smaller than the population of the region divided by the total number of elected members (the ‘+/-10% rule’).</w:t>
      </w:r>
    </w:p>
    <w:p w14:paraId="0B975226" w14:textId="5A9F8B7F" w:rsidR="00BE3E5C" w:rsidRPr="00FC5259" w:rsidRDefault="00BE3E5C" w:rsidP="00BE3E5C">
      <w:pPr>
        <w:pStyle w:val="ListParagraph"/>
        <w:numPr>
          <w:ilvl w:val="0"/>
          <w:numId w:val="25"/>
        </w:numPr>
        <w:spacing w:before="120" w:after="120" w:line="240" w:lineRule="auto"/>
        <w:ind w:hanging="720"/>
        <w:rPr>
          <w:rFonts w:cstheme="minorHAnsi"/>
          <w:sz w:val="24"/>
          <w:szCs w:val="24"/>
        </w:rPr>
      </w:pPr>
      <w:r w:rsidRPr="004B6B4A">
        <w:rPr>
          <w:rFonts w:cstheme="minorHAnsi"/>
          <w:color w:val="000000" w:themeColor="text1"/>
          <w:sz w:val="24"/>
          <w:szCs w:val="24"/>
        </w:rPr>
        <w:t>However, section 19V(3)(b) provides that, if a regional council or the Commission considers that effective representation of communities of interest so requires, constituencies may be defined and membership distributed between them in a way that does not comply with section 19</w:t>
      </w:r>
      <w:proofErr w:type="gramStart"/>
      <w:r w:rsidRPr="004B6B4A">
        <w:rPr>
          <w:rFonts w:cstheme="minorHAnsi"/>
          <w:color w:val="000000" w:themeColor="text1"/>
          <w:sz w:val="24"/>
          <w:szCs w:val="24"/>
        </w:rPr>
        <w:t>V(</w:t>
      </w:r>
      <w:proofErr w:type="gramEnd"/>
      <w:r w:rsidRPr="004B6B4A">
        <w:rPr>
          <w:rFonts w:cstheme="minorHAnsi"/>
          <w:color w:val="000000" w:themeColor="text1"/>
          <w:sz w:val="24"/>
          <w:szCs w:val="24"/>
        </w:rPr>
        <w:t>2).</w:t>
      </w:r>
    </w:p>
    <w:p w14:paraId="35B7634D" w14:textId="1A456E4D" w:rsidR="00FC5259" w:rsidRPr="00FC5259" w:rsidRDefault="00FC5259" w:rsidP="00BE3E5C">
      <w:pPr>
        <w:pStyle w:val="ListParagraph"/>
        <w:numPr>
          <w:ilvl w:val="0"/>
          <w:numId w:val="25"/>
        </w:numPr>
        <w:spacing w:before="120" w:after="120" w:line="240" w:lineRule="auto"/>
        <w:ind w:hanging="720"/>
        <w:rPr>
          <w:rFonts w:cstheme="minorHAnsi"/>
          <w:sz w:val="24"/>
          <w:szCs w:val="24"/>
        </w:rPr>
      </w:pPr>
      <w:proofErr w:type="gramStart"/>
      <w:r>
        <w:rPr>
          <w:rFonts w:cstheme="minorHAnsi"/>
          <w:color w:val="000000" w:themeColor="text1"/>
          <w:sz w:val="24"/>
          <w:szCs w:val="24"/>
        </w:rPr>
        <w:t>As a result of</w:t>
      </w:r>
      <w:proofErr w:type="gramEnd"/>
      <w:r>
        <w:rPr>
          <w:rFonts w:cstheme="minorHAnsi"/>
          <w:color w:val="000000" w:themeColor="text1"/>
          <w:sz w:val="24"/>
          <w:szCs w:val="24"/>
        </w:rPr>
        <w:t xml:space="preserve"> our decision in respect of the Manawatu-Rangitikei Constituency, the proposed constituency arrangements are as follows.</w:t>
      </w:r>
    </w:p>
    <w:tbl>
      <w:tblPr>
        <w:tblStyle w:val="DIATable"/>
        <w:tblW w:w="0" w:type="auto"/>
        <w:jc w:val="center"/>
        <w:tblInd w:w="0" w:type="dxa"/>
        <w:tblLook w:val="04A0" w:firstRow="1" w:lastRow="0" w:firstColumn="1" w:lastColumn="0" w:noHBand="0" w:noVBand="1"/>
      </w:tblPr>
      <w:tblGrid>
        <w:gridCol w:w="1793"/>
        <w:gridCol w:w="1276"/>
        <w:gridCol w:w="1476"/>
        <w:gridCol w:w="1217"/>
        <w:gridCol w:w="1560"/>
        <w:gridCol w:w="1665"/>
      </w:tblGrid>
      <w:tr w:rsidR="00FC5259" w:rsidRPr="004A03D2" w14:paraId="32B2D2C9" w14:textId="77777777" w:rsidTr="00B80513">
        <w:trPr>
          <w:cnfStyle w:val="100000000000" w:firstRow="1" w:lastRow="0" w:firstColumn="0" w:lastColumn="0" w:oddVBand="0" w:evenVBand="0" w:oddHBand="0" w:evenHBand="0" w:firstRowFirstColumn="0" w:firstRowLastColumn="0" w:lastRowFirstColumn="0" w:lastRowLastColumn="0"/>
          <w:jc w:val="center"/>
        </w:trPr>
        <w:tc>
          <w:tcPr>
            <w:tcW w:w="1789" w:type="dxa"/>
          </w:tcPr>
          <w:p w14:paraId="294B5324" w14:textId="77777777" w:rsidR="00FC5259" w:rsidRPr="004A03D2" w:rsidRDefault="00FC5259" w:rsidP="00FC5259">
            <w:pPr>
              <w:pStyle w:val="Header"/>
              <w:ind w:left="360"/>
              <w:jc w:val="center"/>
              <w:rPr>
                <w:rFonts w:cstheme="minorHAnsi"/>
                <w:color w:val="FFFFFF" w:themeColor="background1"/>
                <w:sz w:val="24"/>
              </w:rPr>
            </w:pPr>
            <w:r>
              <w:rPr>
                <w:rFonts w:cstheme="minorHAnsi"/>
                <w:color w:val="FFFFFF" w:themeColor="background1"/>
                <w:sz w:val="20"/>
              </w:rPr>
              <w:t>C</w:t>
            </w:r>
            <w:r w:rsidRPr="004A03D2">
              <w:rPr>
                <w:rFonts w:cstheme="minorHAnsi"/>
                <w:color w:val="FFFFFF" w:themeColor="background1"/>
                <w:sz w:val="20"/>
              </w:rPr>
              <w:t>onstituencies</w:t>
            </w:r>
          </w:p>
        </w:tc>
        <w:tc>
          <w:tcPr>
            <w:tcW w:w="1276" w:type="dxa"/>
          </w:tcPr>
          <w:p w14:paraId="49C154FC" w14:textId="77777777" w:rsidR="00FC5259" w:rsidRPr="004A03D2" w:rsidRDefault="00FC5259" w:rsidP="00B80513">
            <w:pPr>
              <w:pStyle w:val="Header"/>
              <w:jc w:val="center"/>
              <w:rPr>
                <w:rFonts w:cstheme="minorHAnsi"/>
                <w:color w:val="FFFFFF" w:themeColor="background1"/>
                <w:sz w:val="24"/>
              </w:rPr>
            </w:pPr>
            <w:r w:rsidRPr="004A03D2">
              <w:rPr>
                <w:rFonts w:cstheme="minorHAnsi"/>
                <w:color w:val="FFFFFF" w:themeColor="background1"/>
                <w:sz w:val="20"/>
              </w:rPr>
              <w:t>Population*</w:t>
            </w:r>
          </w:p>
        </w:tc>
        <w:tc>
          <w:tcPr>
            <w:tcW w:w="1476" w:type="dxa"/>
          </w:tcPr>
          <w:p w14:paraId="18E61746" w14:textId="77777777" w:rsidR="00FC5259" w:rsidRPr="004A03D2" w:rsidRDefault="00FC5259" w:rsidP="00B80513">
            <w:pPr>
              <w:pStyle w:val="Header"/>
              <w:jc w:val="center"/>
              <w:rPr>
                <w:rFonts w:cstheme="minorHAnsi"/>
                <w:color w:val="FFFFFF" w:themeColor="background1"/>
                <w:sz w:val="24"/>
              </w:rPr>
            </w:pPr>
            <w:r w:rsidRPr="004A03D2">
              <w:rPr>
                <w:rFonts w:cstheme="minorHAnsi"/>
                <w:color w:val="FFFFFF" w:themeColor="background1"/>
                <w:sz w:val="20"/>
              </w:rPr>
              <w:t xml:space="preserve">Number of </w:t>
            </w:r>
            <w:proofErr w:type="spellStart"/>
            <w:r w:rsidRPr="004A03D2">
              <w:rPr>
                <w:rFonts w:cstheme="minorHAnsi"/>
                <w:color w:val="FFFFFF" w:themeColor="background1"/>
                <w:sz w:val="20"/>
              </w:rPr>
              <w:t>councillors</w:t>
            </w:r>
            <w:proofErr w:type="spellEnd"/>
            <w:r w:rsidRPr="004A03D2">
              <w:rPr>
                <w:rFonts w:cstheme="minorHAnsi"/>
                <w:color w:val="FFFFFF" w:themeColor="background1"/>
                <w:sz w:val="20"/>
              </w:rPr>
              <w:t xml:space="preserve"> per constituency</w:t>
            </w:r>
          </w:p>
        </w:tc>
        <w:tc>
          <w:tcPr>
            <w:tcW w:w="1217" w:type="dxa"/>
          </w:tcPr>
          <w:p w14:paraId="4E179618" w14:textId="77777777" w:rsidR="00FC5259" w:rsidRPr="004A03D2" w:rsidRDefault="00FC5259" w:rsidP="00B80513">
            <w:pPr>
              <w:pStyle w:val="Header"/>
              <w:jc w:val="center"/>
              <w:rPr>
                <w:rFonts w:cstheme="minorHAnsi"/>
                <w:color w:val="FFFFFF" w:themeColor="background1"/>
                <w:sz w:val="24"/>
              </w:rPr>
            </w:pPr>
            <w:r w:rsidRPr="004A03D2">
              <w:rPr>
                <w:rFonts w:cstheme="minorHAnsi"/>
                <w:color w:val="FFFFFF" w:themeColor="background1"/>
                <w:sz w:val="20"/>
              </w:rPr>
              <w:t xml:space="preserve">Population per </w:t>
            </w:r>
            <w:proofErr w:type="spellStart"/>
            <w:r w:rsidRPr="004A03D2">
              <w:rPr>
                <w:rFonts w:cstheme="minorHAnsi"/>
                <w:color w:val="FFFFFF" w:themeColor="background1"/>
                <w:sz w:val="20"/>
              </w:rPr>
              <w:t>councillor</w:t>
            </w:r>
            <w:proofErr w:type="spellEnd"/>
          </w:p>
        </w:tc>
        <w:tc>
          <w:tcPr>
            <w:tcW w:w="1560" w:type="dxa"/>
          </w:tcPr>
          <w:p w14:paraId="79E6035D" w14:textId="77777777" w:rsidR="00FC5259" w:rsidRPr="004A03D2" w:rsidRDefault="00FC5259" w:rsidP="00B80513">
            <w:pPr>
              <w:pStyle w:val="Header"/>
              <w:jc w:val="center"/>
              <w:rPr>
                <w:rFonts w:cstheme="minorHAnsi"/>
                <w:color w:val="FFFFFF" w:themeColor="background1"/>
                <w:sz w:val="24"/>
              </w:rPr>
            </w:pPr>
            <w:r w:rsidRPr="004A03D2">
              <w:rPr>
                <w:rFonts w:cstheme="minorHAnsi"/>
                <w:color w:val="FFFFFF" w:themeColor="background1"/>
                <w:sz w:val="20"/>
              </w:rPr>
              <w:t xml:space="preserve">Deviation from region average population per </w:t>
            </w:r>
            <w:proofErr w:type="spellStart"/>
            <w:r w:rsidRPr="004A03D2">
              <w:rPr>
                <w:rFonts w:cstheme="minorHAnsi"/>
                <w:color w:val="FFFFFF" w:themeColor="background1"/>
                <w:sz w:val="20"/>
              </w:rPr>
              <w:t>councillor</w:t>
            </w:r>
            <w:proofErr w:type="spellEnd"/>
          </w:p>
        </w:tc>
        <w:tc>
          <w:tcPr>
            <w:tcW w:w="1665" w:type="dxa"/>
          </w:tcPr>
          <w:p w14:paraId="081BEF2A" w14:textId="77777777" w:rsidR="00FC5259" w:rsidRPr="004A03D2" w:rsidRDefault="00FC5259" w:rsidP="00B80513">
            <w:pPr>
              <w:pStyle w:val="Header"/>
              <w:jc w:val="center"/>
              <w:rPr>
                <w:rFonts w:cstheme="minorHAnsi"/>
                <w:color w:val="FFFFFF" w:themeColor="background1"/>
                <w:sz w:val="24"/>
              </w:rPr>
            </w:pPr>
            <w:r w:rsidRPr="004A03D2">
              <w:rPr>
                <w:rFonts w:cstheme="minorHAnsi"/>
                <w:color w:val="FFFFFF" w:themeColor="background1"/>
                <w:sz w:val="20"/>
              </w:rPr>
              <w:t xml:space="preserve">% deviation from region </w:t>
            </w:r>
            <w:r>
              <w:rPr>
                <w:rFonts w:cstheme="minorHAnsi"/>
                <w:color w:val="FFFFFF" w:themeColor="background1"/>
                <w:sz w:val="20"/>
              </w:rPr>
              <w:t xml:space="preserve">average </w:t>
            </w:r>
            <w:r w:rsidRPr="004A03D2">
              <w:rPr>
                <w:rFonts w:cstheme="minorHAnsi"/>
                <w:color w:val="FFFFFF" w:themeColor="background1"/>
                <w:sz w:val="20"/>
              </w:rPr>
              <w:t xml:space="preserve">population per </w:t>
            </w:r>
            <w:proofErr w:type="spellStart"/>
            <w:r w:rsidRPr="004A03D2">
              <w:rPr>
                <w:rFonts w:cstheme="minorHAnsi"/>
                <w:color w:val="FFFFFF" w:themeColor="background1"/>
                <w:sz w:val="20"/>
              </w:rPr>
              <w:t>councillor</w:t>
            </w:r>
            <w:proofErr w:type="spellEnd"/>
          </w:p>
        </w:tc>
      </w:tr>
      <w:tr w:rsidR="00FC5259" w:rsidRPr="004A03D2" w14:paraId="462FDAC0" w14:textId="77777777" w:rsidTr="00B80513">
        <w:trPr>
          <w:jc w:val="center"/>
        </w:trPr>
        <w:tc>
          <w:tcPr>
            <w:tcW w:w="1789" w:type="dxa"/>
          </w:tcPr>
          <w:p w14:paraId="114D2929" w14:textId="77777777" w:rsidR="00FC5259" w:rsidRPr="004A03D2" w:rsidRDefault="00FC5259" w:rsidP="00B80513">
            <w:pPr>
              <w:pStyle w:val="Header"/>
              <w:rPr>
                <w:rFonts w:cstheme="minorHAnsi"/>
                <w:b/>
                <w:color w:val="FFFFFF" w:themeColor="background1"/>
                <w:sz w:val="20"/>
              </w:rPr>
            </w:pPr>
            <w:r>
              <w:rPr>
                <w:rFonts w:cstheme="minorHAnsi"/>
                <w:color w:val="000000" w:themeColor="text1"/>
                <w:sz w:val="20"/>
              </w:rPr>
              <w:t>Ruapehu</w:t>
            </w:r>
          </w:p>
        </w:tc>
        <w:tc>
          <w:tcPr>
            <w:tcW w:w="1276" w:type="dxa"/>
          </w:tcPr>
          <w:p w14:paraId="5830CFF4"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12,900</w:t>
            </w:r>
          </w:p>
        </w:tc>
        <w:tc>
          <w:tcPr>
            <w:tcW w:w="1476" w:type="dxa"/>
          </w:tcPr>
          <w:p w14:paraId="63A6971C"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1</w:t>
            </w:r>
          </w:p>
        </w:tc>
        <w:tc>
          <w:tcPr>
            <w:tcW w:w="1217" w:type="dxa"/>
          </w:tcPr>
          <w:p w14:paraId="08FFF45A"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12,900</w:t>
            </w:r>
          </w:p>
        </w:tc>
        <w:tc>
          <w:tcPr>
            <w:tcW w:w="1560" w:type="dxa"/>
          </w:tcPr>
          <w:p w14:paraId="5E4DD8BD"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-7,117</w:t>
            </w:r>
          </w:p>
        </w:tc>
        <w:tc>
          <w:tcPr>
            <w:tcW w:w="1665" w:type="dxa"/>
          </w:tcPr>
          <w:p w14:paraId="6B80C5C4"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-35.55</w:t>
            </w:r>
          </w:p>
        </w:tc>
      </w:tr>
      <w:tr w:rsidR="00FC5259" w:rsidRPr="004A03D2" w14:paraId="7C864777" w14:textId="77777777" w:rsidTr="00B80513">
        <w:trPr>
          <w:jc w:val="center"/>
        </w:trPr>
        <w:tc>
          <w:tcPr>
            <w:tcW w:w="1789" w:type="dxa"/>
          </w:tcPr>
          <w:p w14:paraId="34E7DCFB" w14:textId="77777777" w:rsidR="00FC5259" w:rsidRPr="004A03D2" w:rsidRDefault="00FC5259" w:rsidP="00B80513">
            <w:pPr>
              <w:pStyle w:val="Header"/>
              <w:rPr>
                <w:rFonts w:cstheme="minorHAnsi"/>
                <w:color w:val="000000" w:themeColor="text1"/>
                <w:sz w:val="20"/>
              </w:rPr>
            </w:pPr>
            <w:r>
              <w:rPr>
                <w:rFonts w:cstheme="minorHAnsi"/>
                <w:color w:val="000000" w:themeColor="text1"/>
                <w:sz w:val="20"/>
              </w:rPr>
              <w:t>Wanganui</w:t>
            </w:r>
          </w:p>
        </w:tc>
        <w:tc>
          <w:tcPr>
            <w:tcW w:w="1276" w:type="dxa"/>
          </w:tcPr>
          <w:p w14:paraId="3E154BDF"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44,500</w:t>
            </w:r>
          </w:p>
        </w:tc>
        <w:tc>
          <w:tcPr>
            <w:tcW w:w="1476" w:type="dxa"/>
          </w:tcPr>
          <w:p w14:paraId="520C76D0"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2</w:t>
            </w:r>
          </w:p>
        </w:tc>
        <w:tc>
          <w:tcPr>
            <w:tcW w:w="1217" w:type="dxa"/>
          </w:tcPr>
          <w:p w14:paraId="4336EA5F"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22,250</w:t>
            </w:r>
          </w:p>
        </w:tc>
        <w:tc>
          <w:tcPr>
            <w:tcW w:w="1560" w:type="dxa"/>
          </w:tcPr>
          <w:p w14:paraId="2CCA0C10"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+2,233</w:t>
            </w:r>
          </w:p>
        </w:tc>
        <w:tc>
          <w:tcPr>
            <w:tcW w:w="1665" w:type="dxa"/>
          </w:tcPr>
          <w:p w14:paraId="5E3D9B93"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+11.16</w:t>
            </w:r>
          </w:p>
        </w:tc>
      </w:tr>
      <w:tr w:rsidR="00FC5259" w:rsidRPr="004A03D2" w14:paraId="6BD0AAA7" w14:textId="77777777" w:rsidTr="00B80513">
        <w:trPr>
          <w:jc w:val="center"/>
        </w:trPr>
        <w:tc>
          <w:tcPr>
            <w:tcW w:w="1789" w:type="dxa"/>
          </w:tcPr>
          <w:p w14:paraId="4670A41B" w14:textId="77777777" w:rsidR="00FC5259" w:rsidRPr="004A03D2" w:rsidRDefault="00FC5259" w:rsidP="00B80513">
            <w:pPr>
              <w:pStyle w:val="Header"/>
              <w:rPr>
                <w:rFonts w:cstheme="minorHAnsi"/>
                <w:color w:val="000000" w:themeColor="text1"/>
                <w:sz w:val="20"/>
              </w:rPr>
            </w:pPr>
            <w:r>
              <w:rPr>
                <w:rFonts w:cstheme="minorHAnsi"/>
                <w:color w:val="000000" w:themeColor="text1"/>
                <w:sz w:val="20"/>
              </w:rPr>
              <w:t>Manawatu-Rangitikei</w:t>
            </w:r>
          </w:p>
        </w:tc>
        <w:tc>
          <w:tcPr>
            <w:tcW w:w="1276" w:type="dxa"/>
          </w:tcPr>
          <w:p w14:paraId="6A546DA8" w14:textId="33750F6C" w:rsidR="00FC5259" w:rsidRPr="004910D0" w:rsidRDefault="00FC5259" w:rsidP="00B80513">
            <w:pPr>
              <w:pStyle w:val="Header"/>
              <w:jc w:val="center"/>
              <w:rPr>
                <w:rFonts w:cstheme="minorHAnsi"/>
                <w:color w:val="auto"/>
                <w:sz w:val="20"/>
                <w:szCs w:val="20"/>
              </w:rPr>
            </w:pPr>
            <w:r>
              <w:rPr>
                <w:color w:val="auto"/>
                <w:sz w:val="20"/>
                <w:szCs w:val="20"/>
              </w:rPr>
              <w:t>45,240</w:t>
            </w:r>
          </w:p>
        </w:tc>
        <w:tc>
          <w:tcPr>
            <w:tcW w:w="1476" w:type="dxa"/>
          </w:tcPr>
          <w:p w14:paraId="43FFBBAB" w14:textId="48A2CE6D" w:rsidR="00FC5259" w:rsidRPr="004910D0" w:rsidRDefault="00FC5259" w:rsidP="00B80513">
            <w:pPr>
              <w:pStyle w:val="Header"/>
              <w:jc w:val="center"/>
              <w:rPr>
                <w:rFonts w:cstheme="minorHAnsi"/>
                <w:color w:val="auto"/>
                <w:sz w:val="20"/>
                <w:szCs w:val="20"/>
              </w:rPr>
            </w:pPr>
            <w:r>
              <w:rPr>
                <w:color w:val="auto"/>
                <w:sz w:val="20"/>
                <w:szCs w:val="20"/>
              </w:rPr>
              <w:t>2</w:t>
            </w:r>
          </w:p>
        </w:tc>
        <w:tc>
          <w:tcPr>
            <w:tcW w:w="1217" w:type="dxa"/>
          </w:tcPr>
          <w:p w14:paraId="44CF6FB4" w14:textId="747D61A2" w:rsidR="00FC5259" w:rsidRPr="004910D0" w:rsidRDefault="00FC5259" w:rsidP="00B80513">
            <w:pPr>
              <w:pStyle w:val="Header"/>
              <w:jc w:val="center"/>
              <w:rPr>
                <w:rFonts w:cstheme="minorHAnsi"/>
                <w:color w:val="auto"/>
                <w:sz w:val="20"/>
                <w:szCs w:val="20"/>
              </w:rPr>
            </w:pPr>
            <w:r>
              <w:rPr>
                <w:color w:val="auto"/>
                <w:sz w:val="20"/>
                <w:szCs w:val="20"/>
              </w:rPr>
              <w:t>22,620</w:t>
            </w:r>
          </w:p>
        </w:tc>
        <w:tc>
          <w:tcPr>
            <w:tcW w:w="1560" w:type="dxa"/>
          </w:tcPr>
          <w:p w14:paraId="64FD2B66" w14:textId="36169085" w:rsidR="00FC5259" w:rsidRPr="004910D0" w:rsidRDefault="00FC5259" w:rsidP="00B80513">
            <w:pPr>
              <w:pStyle w:val="Header"/>
              <w:jc w:val="center"/>
              <w:rPr>
                <w:rFonts w:cstheme="minorHAnsi"/>
                <w:color w:val="auto"/>
                <w:sz w:val="20"/>
                <w:szCs w:val="20"/>
              </w:rPr>
            </w:pPr>
            <w:r>
              <w:rPr>
                <w:color w:val="auto"/>
                <w:sz w:val="20"/>
                <w:szCs w:val="20"/>
              </w:rPr>
              <w:t>+2,603</w:t>
            </w:r>
          </w:p>
        </w:tc>
        <w:tc>
          <w:tcPr>
            <w:tcW w:w="1665" w:type="dxa"/>
          </w:tcPr>
          <w:p w14:paraId="5F76CE2E" w14:textId="1D70D559" w:rsidR="00FC5259" w:rsidRPr="004910D0" w:rsidRDefault="00FC5259" w:rsidP="00B80513">
            <w:pPr>
              <w:pStyle w:val="Header"/>
              <w:jc w:val="center"/>
              <w:rPr>
                <w:rFonts w:cstheme="minorHAnsi"/>
                <w:color w:val="auto"/>
                <w:sz w:val="20"/>
                <w:szCs w:val="20"/>
              </w:rPr>
            </w:pPr>
            <w:r>
              <w:rPr>
                <w:color w:val="auto"/>
                <w:sz w:val="20"/>
                <w:szCs w:val="20"/>
              </w:rPr>
              <w:t>+13.00</w:t>
            </w:r>
          </w:p>
        </w:tc>
      </w:tr>
      <w:tr w:rsidR="00FC5259" w:rsidRPr="004A03D2" w14:paraId="32DA6732" w14:textId="77777777" w:rsidTr="00B80513">
        <w:trPr>
          <w:jc w:val="center"/>
        </w:trPr>
        <w:tc>
          <w:tcPr>
            <w:tcW w:w="1789" w:type="dxa"/>
          </w:tcPr>
          <w:p w14:paraId="3F2FB0BE" w14:textId="77777777" w:rsidR="00FC5259" w:rsidRDefault="00FC5259" w:rsidP="00B80513">
            <w:pPr>
              <w:pStyle w:val="Header"/>
              <w:rPr>
                <w:rFonts w:cstheme="minorHAnsi"/>
                <w:color w:val="000000" w:themeColor="text1"/>
                <w:sz w:val="20"/>
              </w:rPr>
            </w:pPr>
            <w:r>
              <w:rPr>
                <w:rFonts w:cstheme="minorHAnsi"/>
                <w:color w:val="000000" w:themeColor="text1"/>
                <w:sz w:val="20"/>
              </w:rPr>
              <w:t>Palmerston North</w:t>
            </w:r>
          </w:p>
        </w:tc>
        <w:tc>
          <w:tcPr>
            <w:tcW w:w="1276" w:type="dxa"/>
          </w:tcPr>
          <w:p w14:paraId="239C4E67"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87,300</w:t>
            </w:r>
          </w:p>
        </w:tc>
        <w:tc>
          <w:tcPr>
            <w:tcW w:w="1476" w:type="dxa"/>
          </w:tcPr>
          <w:p w14:paraId="3E78960B"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4</w:t>
            </w:r>
          </w:p>
        </w:tc>
        <w:tc>
          <w:tcPr>
            <w:tcW w:w="1217" w:type="dxa"/>
          </w:tcPr>
          <w:p w14:paraId="3320E88E"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21,825</w:t>
            </w:r>
          </w:p>
        </w:tc>
        <w:tc>
          <w:tcPr>
            <w:tcW w:w="1560" w:type="dxa"/>
          </w:tcPr>
          <w:p w14:paraId="10867125"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+1,808</w:t>
            </w:r>
          </w:p>
        </w:tc>
        <w:tc>
          <w:tcPr>
            <w:tcW w:w="1665" w:type="dxa"/>
          </w:tcPr>
          <w:p w14:paraId="10AF5EF4"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+9.03</w:t>
            </w:r>
          </w:p>
        </w:tc>
      </w:tr>
      <w:tr w:rsidR="00FC5259" w:rsidRPr="004A03D2" w14:paraId="6AC4CAE1" w14:textId="77777777" w:rsidTr="00B80513">
        <w:trPr>
          <w:jc w:val="center"/>
        </w:trPr>
        <w:tc>
          <w:tcPr>
            <w:tcW w:w="1789" w:type="dxa"/>
          </w:tcPr>
          <w:p w14:paraId="7FB5B79C" w14:textId="7B7A5D79" w:rsidR="00FC5259" w:rsidRPr="004A03D2" w:rsidRDefault="00FC5259" w:rsidP="00B80513">
            <w:pPr>
              <w:pStyle w:val="Header"/>
              <w:rPr>
                <w:rFonts w:cstheme="minorHAnsi"/>
                <w:color w:val="000000" w:themeColor="text1"/>
                <w:sz w:val="20"/>
              </w:rPr>
            </w:pPr>
            <w:proofErr w:type="spellStart"/>
            <w:r>
              <w:rPr>
                <w:rFonts w:cstheme="minorHAnsi"/>
                <w:color w:val="000000" w:themeColor="text1"/>
                <w:sz w:val="20"/>
              </w:rPr>
              <w:t>Horowhenua</w:t>
            </w:r>
            <w:proofErr w:type="spellEnd"/>
          </w:p>
        </w:tc>
        <w:tc>
          <w:tcPr>
            <w:tcW w:w="1276" w:type="dxa"/>
          </w:tcPr>
          <w:p w14:paraId="7951E2B1" w14:textId="7E33E584" w:rsidR="00FC5259" w:rsidRPr="004910D0" w:rsidRDefault="00FC5259" w:rsidP="00B80513">
            <w:pPr>
              <w:pStyle w:val="Header"/>
              <w:jc w:val="center"/>
              <w:rPr>
                <w:rFonts w:cstheme="minorHAnsi"/>
                <w:color w:val="auto"/>
                <w:sz w:val="20"/>
                <w:szCs w:val="20"/>
              </w:rPr>
            </w:pPr>
            <w:r>
              <w:rPr>
                <w:color w:val="auto"/>
                <w:sz w:val="20"/>
                <w:szCs w:val="20"/>
              </w:rPr>
              <w:t>32,460</w:t>
            </w:r>
          </w:p>
        </w:tc>
        <w:tc>
          <w:tcPr>
            <w:tcW w:w="1476" w:type="dxa"/>
          </w:tcPr>
          <w:p w14:paraId="5572866D"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2</w:t>
            </w:r>
          </w:p>
        </w:tc>
        <w:tc>
          <w:tcPr>
            <w:tcW w:w="1217" w:type="dxa"/>
          </w:tcPr>
          <w:p w14:paraId="259BF39E" w14:textId="56AE6290" w:rsidR="00FC5259" w:rsidRPr="004910D0" w:rsidRDefault="00FC5259" w:rsidP="00B80513">
            <w:pPr>
              <w:pStyle w:val="Header"/>
              <w:jc w:val="center"/>
              <w:rPr>
                <w:rFonts w:cstheme="minorHAnsi"/>
                <w:color w:val="auto"/>
                <w:sz w:val="20"/>
                <w:szCs w:val="20"/>
              </w:rPr>
            </w:pPr>
            <w:r>
              <w:rPr>
                <w:color w:val="auto"/>
                <w:sz w:val="20"/>
                <w:szCs w:val="20"/>
              </w:rPr>
              <w:t>16,230</w:t>
            </w:r>
          </w:p>
        </w:tc>
        <w:tc>
          <w:tcPr>
            <w:tcW w:w="1560" w:type="dxa"/>
          </w:tcPr>
          <w:p w14:paraId="6ADDBD14" w14:textId="3CE7F245" w:rsidR="00FC5259" w:rsidRPr="004910D0" w:rsidRDefault="00FC5259" w:rsidP="00B80513">
            <w:pPr>
              <w:pStyle w:val="Header"/>
              <w:jc w:val="center"/>
              <w:rPr>
                <w:rFonts w:cstheme="minorHAnsi"/>
                <w:color w:val="auto"/>
                <w:sz w:val="20"/>
                <w:szCs w:val="20"/>
              </w:rPr>
            </w:pPr>
            <w:r>
              <w:rPr>
                <w:color w:val="auto"/>
                <w:sz w:val="20"/>
                <w:szCs w:val="20"/>
              </w:rPr>
              <w:t>-3,787</w:t>
            </w:r>
          </w:p>
        </w:tc>
        <w:tc>
          <w:tcPr>
            <w:tcW w:w="1665" w:type="dxa"/>
          </w:tcPr>
          <w:p w14:paraId="57AB8972" w14:textId="6AB93B25" w:rsidR="00FC5259" w:rsidRPr="004910D0" w:rsidRDefault="00FC5259" w:rsidP="00B80513">
            <w:pPr>
              <w:pStyle w:val="Header"/>
              <w:jc w:val="center"/>
              <w:rPr>
                <w:rFonts w:cstheme="minorHAnsi"/>
                <w:color w:val="auto"/>
                <w:sz w:val="20"/>
                <w:szCs w:val="20"/>
              </w:rPr>
            </w:pPr>
            <w:r>
              <w:rPr>
                <w:color w:val="auto"/>
                <w:sz w:val="20"/>
                <w:szCs w:val="20"/>
              </w:rPr>
              <w:t>-18.92</w:t>
            </w:r>
          </w:p>
        </w:tc>
      </w:tr>
      <w:tr w:rsidR="00FC5259" w:rsidRPr="004A03D2" w14:paraId="65B11B84" w14:textId="77777777" w:rsidTr="00B80513">
        <w:trPr>
          <w:jc w:val="center"/>
        </w:trPr>
        <w:tc>
          <w:tcPr>
            <w:tcW w:w="1789" w:type="dxa"/>
          </w:tcPr>
          <w:p w14:paraId="1AA80C3B" w14:textId="77777777" w:rsidR="00FC5259" w:rsidRDefault="00FC5259" w:rsidP="00B80513">
            <w:pPr>
              <w:pStyle w:val="Header"/>
              <w:rPr>
                <w:rFonts w:cstheme="minorHAnsi"/>
                <w:color w:val="000000" w:themeColor="text1"/>
                <w:sz w:val="20"/>
              </w:rPr>
            </w:pPr>
            <w:proofErr w:type="spellStart"/>
            <w:r>
              <w:rPr>
                <w:rFonts w:cstheme="minorHAnsi"/>
                <w:color w:val="000000" w:themeColor="text1"/>
                <w:sz w:val="20"/>
              </w:rPr>
              <w:t>Tararua</w:t>
            </w:r>
            <w:proofErr w:type="spellEnd"/>
            <w:r>
              <w:rPr>
                <w:rFonts w:cstheme="minorHAnsi"/>
                <w:color w:val="000000" w:themeColor="text1"/>
                <w:sz w:val="20"/>
              </w:rPr>
              <w:t xml:space="preserve"> </w:t>
            </w:r>
          </w:p>
        </w:tc>
        <w:tc>
          <w:tcPr>
            <w:tcW w:w="1276" w:type="dxa"/>
          </w:tcPr>
          <w:p w14:paraId="3BE9FBE4"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17,800</w:t>
            </w:r>
          </w:p>
        </w:tc>
        <w:tc>
          <w:tcPr>
            <w:tcW w:w="1476" w:type="dxa"/>
          </w:tcPr>
          <w:p w14:paraId="1A71261C"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1</w:t>
            </w:r>
          </w:p>
        </w:tc>
        <w:tc>
          <w:tcPr>
            <w:tcW w:w="1217" w:type="dxa"/>
          </w:tcPr>
          <w:p w14:paraId="01CFB034"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17,800</w:t>
            </w:r>
          </w:p>
        </w:tc>
        <w:tc>
          <w:tcPr>
            <w:tcW w:w="1560" w:type="dxa"/>
          </w:tcPr>
          <w:p w14:paraId="17A77EEE"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-2,217</w:t>
            </w:r>
          </w:p>
        </w:tc>
        <w:tc>
          <w:tcPr>
            <w:tcW w:w="1665" w:type="dxa"/>
          </w:tcPr>
          <w:p w14:paraId="0FBD213F" w14:textId="77777777" w:rsidR="00FC5259" w:rsidRPr="004910D0" w:rsidRDefault="00FC5259" w:rsidP="00B80513">
            <w:pPr>
              <w:pStyle w:val="Header"/>
              <w:jc w:val="center"/>
              <w:rPr>
                <w:rFonts w:cstheme="minorHAnsi"/>
                <w:color w:val="auto"/>
                <w:sz w:val="20"/>
                <w:szCs w:val="20"/>
              </w:rPr>
            </w:pPr>
            <w:r w:rsidRPr="004910D0">
              <w:rPr>
                <w:color w:val="auto"/>
                <w:sz w:val="20"/>
                <w:szCs w:val="20"/>
              </w:rPr>
              <w:t>-11.0</w:t>
            </w:r>
            <w:r>
              <w:rPr>
                <w:color w:val="auto"/>
                <w:sz w:val="20"/>
                <w:szCs w:val="20"/>
              </w:rPr>
              <w:t>8</w:t>
            </w:r>
          </w:p>
        </w:tc>
      </w:tr>
      <w:tr w:rsidR="00FC5259" w:rsidRPr="004A03D2" w14:paraId="0F7CED09" w14:textId="77777777" w:rsidTr="00B80513">
        <w:trPr>
          <w:jc w:val="center"/>
        </w:trPr>
        <w:tc>
          <w:tcPr>
            <w:tcW w:w="1789" w:type="dxa"/>
          </w:tcPr>
          <w:p w14:paraId="5679888B" w14:textId="77777777" w:rsidR="00FC5259" w:rsidRPr="004A03D2" w:rsidRDefault="00FC5259" w:rsidP="00B80513">
            <w:pPr>
              <w:pStyle w:val="Header"/>
              <w:rPr>
                <w:rFonts w:cstheme="minorHAnsi"/>
                <w:color w:val="000000" w:themeColor="text1"/>
                <w:sz w:val="20"/>
              </w:rPr>
            </w:pPr>
            <w:r w:rsidRPr="004A03D2">
              <w:rPr>
                <w:rFonts w:cstheme="minorHAnsi"/>
                <w:b/>
                <w:color w:val="000000" w:themeColor="text1"/>
                <w:sz w:val="20"/>
              </w:rPr>
              <w:t>Total</w:t>
            </w:r>
          </w:p>
        </w:tc>
        <w:tc>
          <w:tcPr>
            <w:tcW w:w="1276" w:type="dxa"/>
          </w:tcPr>
          <w:p w14:paraId="0F78246D" w14:textId="77777777" w:rsidR="00FC5259" w:rsidRPr="004910D0" w:rsidRDefault="00FC5259" w:rsidP="00B80513">
            <w:pPr>
              <w:pStyle w:val="Header"/>
              <w:jc w:val="center"/>
              <w:rPr>
                <w:rFonts w:cstheme="minorHAnsi"/>
                <w:b/>
                <w:color w:val="auto"/>
                <w:sz w:val="20"/>
                <w:szCs w:val="20"/>
              </w:rPr>
            </w:pPr>
            <w:r w:rsidRPr="004910D0">
              <w:rPr>
                <w:b/>
                <w:color w:val="auto"/>
                <w:sz w:val="20"/>
                <w:szCs w:val="20"/>
              </w:rPr>
              <w:t>240,200</w:t>
            </w:r>
          </w:p>
        </w:tc>
        <w:tc>
          <w:tcPr>
            <w:tcW w:w="1476" w:type="dxa"/>
          </w:tcPr>
          <w:p w14:paraId="0F1A1A9B" w14:textId="77777777" w:rsidR="00FC5259" w:rsidRPr="004910D0" w:rsidRDefault="00FC5259" w:rsidP="00B80513">
            <w:pPr>
              <w:pStyle w:val="Header"/>
              <w:jc w:val="center"/>
              <w:rPr>
                <w:rFonts w:cstheme="minorHAnsi"/>
                <w:b/>
                <w:color w:val="auto"/>
                <w:sz w:val="20"/>
                <w:szCs w:val="20"/>
              </w:rPr>
            </w:pPr>
            <w:r w:rsidRPr="004910D0">
              <w:rPr>
                <w:b/>
                <w:color w:val="auto"/>
                <w:sz w:val="20"/>
                <w:szCs w:val="20"/>
              </w:rPr>
              <w:t>12</w:t>
            </w:r>
          </w:p>
        </w:tc>
        <w:tc>
          <w:tcPr>
            <w:tcW w:w="1217" w:type="dxa"/>
          </w:tcPr>
          <w:p w14:paraId="777B57D7" w14:textId="77777777" w:rsidR="00FC5259" w:rsidRPr="004910D0" w:rsidRDefault="00FC5259" w:rsidP="00B80513">
            <w:pPr>
              <w:pStyle w:val="Header"/>
              <w:jc w:val="center"/>
              <w:rPr>
                <w:rFonts w:cstheme="minorHAnsi"/>
                <w:b/>
                <w:color w:val="auto"/>
                <w:sz w:val="20"/>
                <w:szCs w:val="20"/>
              </w:rPr>
            </w:pPr>
            <w:r w:rsidRPr="004910D0">
              <w:rPr>
                <w:b/>
                <w:color w:val="auto"/>
                <w:sz w:val="20"/>
                <w:szCs w:val="20"/>
              </w:rPr>
              <w:t>20,017</w:t>
            </w:r>
          </w:p>
        </w:tc>
        <w:tc>
          <w:tcPr>
            <w:tcW w:w="1560" w:type="dxa"/>
          </w:tcPr>
          <w:p w14:paraId="51E5C166" w14:textId="77777777" w:rsidR="00FC5259" w:rsidRPr="004910D0" w:rsidRDefault="00FC5259" w:rsidP="00B80513">
            <w:pPr>
              <w:pStyle w:val="Header"/>
              <w:jc w:val="center"/>
              <w:rPr>
                <w:rFonts w:cstheme="minorHAnsi"/>
                <w:b/>
                <w:color w:val="auto"/>
                <w:sz w:val="20"/>
                <w:szCs w:val="20"/>
              </w:rPr>
            </w:pPr>
          </w:p>
        </w:tc>
        <w:tc>
          <w:tcPr>
            <w:tcW w:w="1665" w:type="dxa"/>
          </w:tcPr>
          <w:p w14:paraId="76394E47" w14:textId="77777777" w:rsidR="00FC5259" w:rsidRPr="004910D0" w:rsidRDefault="00FC5259" w:rsidP="00B80513">
            <w:pPr>
              <w:pStyle w:val="Header"/>
              <w:jc w:val="center"/>
              <w:rPr>
                <w:rFonts w:cstheme="minorHAnsi"/>
                <w:b/>
                <w:color w:val="auto"/>
                <w:sz w:val="20"/>
                <w:szCs w:val="20"/>
              </w:rPr>
            </w:pPr>
          </w:p>
        </w:tc>
      </w:tr>
    </w:tbl>
    <w:p w14:paraId="469E33D5" w14:textId="77777777" w:rsidR="00FC5259" w:rsidRPr="004A03D2" w:rsidRDefault="00FC5259" w:rsidP="00FC5259">
      <w:pPr>
        <w:pStyle w:val="Header"/>
        <w:spacing w:after="120"/>
        <w:ind w:left="567" w:hanging="141"/>
        <w:rPr>
          <w:rFonts w:cstheme="minorHAnsi"/>
          <w:color w:val="000000" w:themeColor="text1"/>
          <w:sz w:val="20"/>
        </w:rPr>
      </w:pPr>
      <w:r w:rsidRPr="004A03D2">
        <w:rPr>
          <w:rFonts w:cstheme="minorHAnsi"/>
          <w:color w:val="000000" w:themeColor="text1"/>
          <w:sz w:val="20"/>
        </w:rPr>
        <w:t xml:space="preserve">* These </w:t>
      </w:r>
      <w:r>
        <w:rPr>
          <w:rFonts w:cstheme="minorHAnsi"/>
          <w:color w:val="000000" w:themeColor="text1"/>
          <w:sz w:val="20"/>
        </w:rPr>
        <w:t xml:space="preserve">figures </w:t>
      </w:r>
      <w:r w:rsidRPr="004A03D2">
        <w:rPr>
          <w:rFonts w:cstheme="minorHAnsi"/>
          <w:color w:val="000000" w:themeColor="text1"/>
          <w:sz w:val="20"/>
        </w:rPr>
        <w:t>are 201</w:t>
      </w:r>
      <w:r>
        <w:rPr>
          <w:rFonts w:cstheme="minorHAnsi"/>
          <w:color w:val="000000" w:themeColor="text1"/>
          <w:sz w:val="20"/>
        </w:rPr>
        <w:t>7</w:t>
      </w:r>
      <w:r w:rsidRPr="004A03D2">
        <w:rPr>
          <w:rFonts w:cstheme="minorHAnsi"/>
          <w:color w:val="000000" w:themeColor="text1"/>
          <w:sz w:val="20"/>
        </w:rPr>
        <w:t xml:space="preserve"> population estimates</w:t>
      </w:r>
    </w:p>
    <w:p w14:paraId="7477860D" w14:textId="61C8B912" w:rsidR="00CF632B" w:rsidRPr="00CF632B" w:rsidRDefault="002525A9" w:rsidP="00BE3E5C">
      <w:pPr>
        <w:pStyle w:val="ListParagraph"/>
        <w:numPr>
          <w:ilvl w:val="0"/>
          <w:numId w:val="25"/>
        </w:numPr>
        <w:spacing w:before="120" w:after="120" w:line="240" w:lineRule="auto"/>
        <w:ind w:hanging="720"/>
        <w:rPr>
          <w:rFonts w:cstheme="minorHAnsi"/>
          <w:sz w:val="24"/>
          <w:szCs w:val="24"/>
        </w:rPr>
      </w:pPr>
      <w:r>
        <w:rPr>
          <w:rFonts w:cstheme="minorHAnsi"/>
          <w:color w:val="000000" w:themeColor="text1"/>
          <w:sz w:val="24"/>
          <w:szCs w:val="24"/>
        </w:rPr>
        <w:t xml:space="preserve">It is the </w:t>
      </w:r>
      <w:r w:rsidR="00AB7255">
        <w:rPr>
          <w:rFonts w:cstheme="minorHAnsi"/>
          <w:color w:val="000000" w:themeColor="text1"/>
          <w:sz w:val="24"/>
          <w:szCs w:val="24"/>
        </w:rPr>
        <w:t>desirability of achieving</w:t>
      </w:r>
      <w:r>
        <w:rPr>
          <w:rFonts w:cstheme="minorHAnsi"/>
          <w:color w:val="000000" w:themeColor="text1"/>
          <w:sz w:val="24"/>
          <w:szCs w:val="24"/>
        </w:rPr>
        <w:t xml:space="preserve"> fair representation </w:t>
      </w:r>
      <w:r w:rsidR="00AB7255">
        <w:rPr>
          <w:rFonts w:cstheme="minorHAnsi"/>
          <w:color w:val="000000" w:themeColor="text1"/>
          <w:sz w:val="24"/>
          <w:szCs w:val="24"/>
        </w:rPr>
        <w:t xml:space="preserve">for electors </w:t>
      </w:r>
      <w:r w:rsidR="00BC00CE">
        <w:rPr>
          <w:rFonts w:cstheme="minorHAnsi"/>
          <w:color w:val="000000" w:themeColor="text1"/>
          <w:sz w:val="24"/>
          <w:szCs w:val="24"/>
        </w:rPr>
        <w:t xml:space="preserve">(the ‘+/-10% rule’) </w:t>
      </w:r>
      <w:r>
        <w:rPr>
          <w:rFonts w:cstheme="minorHAnsi"/>
          <w:color w:val="000000" w:themeColor="text1"/>
          <w:sz w:val="24"/>
          <w:szCs w:val="24"/>
        </w:rPr>
        <w:t xml:space="preserve">that most concerned the two appellants. </w:t>
      </w:r>
    </w:p>
    <w:p w14:paraId="28EFA9BB" w14:textId="30DA3531" w:rsidR="002525A9" w:rsidRPr="0067716B" w:rsidRDefault="002525A9" w:rsidP="00BE3E5C">
      <w:pPr>
        <w:pStyle w:val="ListParagraph"/>
        <w:numPr>
          <w:ilvl w:val="0"/>
          <w:numId w:val="25"/>
        </w:numPr>
        <w:spacing w:before="120" w:after="120" w:line="240" w:lineRule="auto"/>
        <w:ind w:hanging="720"/>
        <w:rPr>
          <w:rFonts w:cstheme="minorHAnsi"/>
          <w:sz w:val="24"/>
          <w:szCs w:val="24"/>
        </w:rPr>
      </w:pPr>
      <w:r>
        <w:rPr>
          <w:rFonts w:cstheme="minorHAnsi"/>
          <w:color w:val="000000" w:themeColor="text1"/>
          <w:sz w:val="24"/>
          <w:szCs w:val="24"/>
        </w:rPr>
        <w:t>While acknowledging these concerns</w:t>
      </w:r>
      <w:r w:rsidR="00CF632B">
        <w:rPr>
          <w:rFonts w:cstheme="minorHAnsi"/>
          <w:color w:val="000000" w:themeColor="text1"/>
          <w:sz w:val="24"/>
          <w:szCs w:val="24"/>
        </w:rPr>
        <w:t xml:space="preserve"> and the specific statutory requirements</w:t>
      </w:r>
      <w:r>
        <w:rPr>
          <w:rFonts w:cstheme="minorHAnsi"/>
          <w:color w:val="000000" w:themeColor="text1"/>
          <w:sz w:val="24"/>
          <w:szCs w:val="24"/>
        </w:rPr>
        <w:t xml:space="preserve">, we consider it is </w:t>
      </w:r>
      <w:r w:rsidR="0067716B">
        <w:rPr>
          <w:rFonts w:cstheme="minorHAnsi"/>
          <w:color w:val="000000" w:themeColor="text1"/>
          <w:sz w:val="24"/>
          <w:szCs w:val="24"/>
        </w:rPr>
        <w:t>the</w:t>
      </w:r>
      <w:r>
        <w:rPr>
          <w:rFonts w:cstheme="minorHAnsi"/>
          <w:color w:val="000000" w:themeColor="text1"/>
          <w:sz w:val="24"/>
          <w:szCs w:val="24"/>
        </w:rPr>
        <w:t xml:space="preserve"> appropriate balance between </w:t>
      </w:r>
      <w:r w:rsidRPr="00CF632B">
        <w:rPr>
          <w:rFonts w:cstheme="minorHAnsi"/>
          <w:i/>
          <w:color w:val="000000" w:themeColor="text1"/>
          <w:sz w:val="24"/>
          <w:szCs w:val="24"/>
        </w:rPr>
        <w:t>both</w:t>
      </w:r>
      <w:r>
        <w:rPr>
          <w:rFonts w:cstheme="minorHAnsi"/>
          <w:color w:val="000000" w:themeColor="text1"/>
          <w:sz w:val="24"/>
          <w:szCs w:val="24"/>
        </w:rPr>
        <w:t xml:space="preserve"> fair and effective representation that local authorities, and now the Commission,</w:t>
      </w:r>
      <w:r w:rsidR="0067716B">
        <w:rPr>
          <w:rFonts w:cstheme="minorHAnsi"/>
          <w:color w:val="000000" w:themeColor="text1"/>
          <w:sz w:val="24"/>
          <w:szCs w:val="24"/>
        </w:rPr>
        <w:t xml:space="preserve"> </w:t>
      </w:r>
      <w:r w:rsidR="00BC00CE">
        <w:rPr>
          <w:rFonts w:cstheme="minorHAnsi"/>
          <w:color w:val="000000" w:themeColor="text1"/>
          <w:sz w:val="24"/>
          <w:szCs w:val="24"/>
        </w:rPr>
        <w:t>must</w:t>
      </w:r>
      <w:r w:rsidR="0067716B">
        <w:rPr>
          <w:rFonts w:cstheme="minorHAnsi"/>
          <w:color w:val="000000" w:themeColor="text1"/>
          <w:sz w:val="24"/>
          <w:szCs w:val="24"/>
        </w:rPr>
        <w:t xml:space="preserve"> strive to achieve.</w:t>
      </w:r>
      <w:r>
        <w:rPr>
          <w:rFonts w:cstheme="minorHAnsi"/>
          <w:color w:val="000000" w:themeColor="text1"/>
          <w:sz w:val="24"/>
          <w:szCs w:val="24"/>
        </w:rPr>
        <w:t xml:space="preserve"> </w:t>
      </w:r>
      <w:r w:rsidR="0067716B">
        <w:rPr>
          <w:rFonts w:cstheme="minorHAnsi"/>
          <w:color w:val="000000" w:themeColor="text1"/>
          <w:sz w:val="24"/>
          <w:szCs w:val="24"/>
        </w:rPr>
        <w:t xml:space="preserve">This is in line with the guiding principle in the Act of “fair </w:t>
      </w:r>
      <w:r w:rsidR="0067716B" w:rsidRPr="00CF632B">
        <w:rPr>
          <w:rFonts w:cstheme="minorHAnsi"/>
          <w:i/>
          <w:color w:val="000000" w:themeColor="text1"/>
          <w:sz w:val="24"/>
          <w:szCs w:val="24"/>
        </w:rPr>
        <w:t>and</w:t>
      </w:r>
      <w:r w:rsidR="0067716B">
        <w:rPr>
          <w:rFonts w:cstheme="minorHAnsi"/>
          <w:color w:val="000000" w:themeColor="text1"/>
          <w:sz w:val="24"/>
          <w:szCs w:val="24"/>
        </w:rPr>
        <w:t xml:space="preserve"> effective representation for individuals and communities” </w:t>
      </w:r>
      <w:r w:rsidR="00CF632B">
        <w:rPr>
          <w:rFonts w:cstheme="minorHAnsi"/>
          <w:color w:val="000000" w:themeColor="text1"/>
          <w:sz w:val="24"/>
          <w:szCs w:val="24"/>
        </w:rPr>
        <w:t>(emphasis added)</w:t>
      </w:r>
      <w:r w:rsidR="0067716B">
        <w:rPr>
          <w:rFonts w:cstheme="minorHAnsi"/>
          <w:color w:val="000000" w:themeColor="text1"/>
          <w:sz w:val="24"/>
          <w:szCs w:val="24"/>
          <w:lang w:val="en-NZ"/>
        </w:rPr>
        <w:t>.</w:t>
      </w:r>
    </w:p>
    <w:p w14:paraId="132161DE" w14:textId="0D44B005" w:rsidR="0067716B" w:rsidRPr="00965696" w:rsidRDefault="0067716B" w:rsidP="00BE3E5C">
      <w:pPr>
        <w:pStyle w:val="ListParagraph"/>
        <w:numPr>
          <w:ilvl w:val="0"/>
          <w:numId w:val="25"/>
        </w:numPr>
        <w:spacing w:before="120" w:after="120" w:line="240" w:lineRule="auto"/>
        <w:ind w:hanging="720"/>
        <w:rPr>
          <w:rFonts w:cstheme="minorHAnsi"/>
          <w:sz w:val="24"/>
          <w:szCs w:val="24"/>
        </w:rPr>
      </w:pPr>
      <w:r>
        <w:rPr>
          <w:rFonts w:cstheme="minorHAnsi"/>
          <w:color w:val="000000" w:themeColor="text1"/>
          <w:sz w:val="24"/>
          <w:szCs w:val="24"/>
          <w:lang w:val="en-NZ"/>
        </w:rPr>
        <w:t>In relation to the proposed Ruapehu Constituency, we note the then Local Government Commission in 2007</w:t>
      </w:r>
      <w:r w:rsidR="00965696">
        <w:rPr>
          <w:rFonts w:cstheme="minorHAnsi"/>
          <w:color w:val="000000" w:themeColor="text1"/>
          <w:sz w:val="24"/>
          <w:szCs w:val="24"/>
          <w:lang w:val="en-NZ"/>
        </w:rPr>
        <w:t xml:space="preserve">, in addressing </w:t>
      </w:r>
      <w:r w:rsidR="00CF632B">
        <w:rPr>
          <w:rFonts w:cstheme="minorHAnsi"/>
          <w:color w:val="000000" w:themeColor="text1"/>
          <w:sz w:val="24"/>
          <w:szCs w:val="24"/>
          <w:lang w:val="en-NZ"/>
        </w:rPr>
        <w:t xml:space="preserve">this constituency’s </w:t>
      </w:r>
      <w:r w:rsidR="00965696">
        <w:rPr>
          <w:rFonts w:cstheme="minorHAnsi"/>
          <w:color w:val="000000" w:themeColor="text1"/>
          <w:sz w:val="24"/>
          <w:szCs w:val="24"/>
          <w:lang w:val="en-NZ"/>
        </w:rPr>
        <w:t>non-compliance with the ‘+/-10% rule, agreed with the council that a separate constituency was necessary to ensure effective representation of this community of interest. In summary, it agreed that:</w:t>
      </w:r>
    </w:p>
    <w:p w14:paraId="4F8438FD" w14:textId="74A8B460" w:rsidR="00965696" w:rsidRDefault="00965696" w:rsidP="000E27B5">
      <w:pPr>
        <w:pStyle w:val="ListParagraph"/>
        <w:numPr>
          <w:ilvl w:val="0"/>
          <w:numId w:val="33"/>
        </w:numPr>
        <w:spacing w:before="120" w:after="120" w:line="240" w:lineRule="auto"/>
        <w:ind w:left="1560" w:hanging="567"/>
        <w:rPr>
          <w:rFonts w:cstheme="minorHAnsi"/>
          <w:i/>
          <w:sz w:val="24"/>
          <w:szCs w:val="24"/>
        </w:rPr>
      </w:pPr>
      <w:r>
        <w:rPr>
          <w:rFonts w:cstheme="minorHAnsi"/>
          <w:i/>
          <w:sz w:val="24"/>
          <w:szCs w:val="24"/>
        </w:rPr>
        <w:t xml:space="preserve">the constituency covers a large area (760074.5 hectares) including Tongariro </w:t>
      </w:r>
      <w:r w:rsidR="00A4349F">
        <w:rPr>
          <w:rFonts w:cstheme="minorHAnsi"/>
          <w:i/>
          <w:sz w:val="24"/>
          <w:szCs w:val="24"/>
        </w:rPr>
        <w:t>N</w:t>
      </w:r>
      <w:r>
        <w:rPr>
          <w:rFonts w:cstheme="minorHAnsi"/>
          <w:i/>
          <w:sz w:val="24"/>
          <w:szCs w:val="24"/>
        </w:rPr>
        <w:t>ational Park</w:t>
      </w:r>
    </w:p>
    <w:p w14:paraId="0CCCA101" w14:textId="12497D1C" w:rsidR="00965696" w:rsidRDefault="00965696" w:rsidP="000E27B5">
      <w:pPr>
        <w:pStyle w:val="ListParagraph"/>
        <w:numPr>
          <w:ilvl w:val="0"/>
          <w:numId w:val="33"/>
        </w:numPr>
        <w:spacing w:before="120" w:after="120" w:line="240" w:lineRule="auto"/>
        <w:ind w:left="1560" w:hanging="567"/>
        <w:rPr>
          <w:rFonts w:cstheme="minorHAnsi"/>
          <w:i/>
          <w:sz w:val="24"/>
          <w:szCs w:val="24"/>
        </w:rPr>
      </w:pPr>
      <w:r>
        <w:rPr>
          <w:rFonts w:cstheme="minorHAnsi"/>
          <w:i/>
          <w:sz w:val="24"/>
          <w:szCs w:val="24"/>
        </w:rPr>
        <w:t>the constituency comprises many small rural communities that, colle</w:t>
      </w:r>
      <w:r w:rsidR="00A4349F">
        <w:rPr>
          <w:rFonts w:cstheme="minorHAnsi"/>
          <w:i/>
          <w:sz w:val="24"/>
          <w:szCs w:val="24"/>
        </w:rPr>
        <w:t>ctively, identify with Ruapehu D</w:t>
      </w:r>
      <w:r>
        <w:rPr>
          <w:rFonts w:cstheme="minorHAnsi"/>
          <w:i/>
          <w:sz w:val="24"/>
          <w:szCs w:val="24"/>
        </w:rPr>
        <w:t>istrict</w:t>
      </w:r>
    </w:p>
    <w:p w14:paraId="05EA0FB7" w14:textId="5328FDA1" w:rsidR="00965696" w:rsidRDefault="00965696" w:rsidP="000E27B5">
      <w:pPr>
        <w:pStyle w:val="ListParagraph"/>
        <w:numPr>
          <w:ilvl w:val="0"/>
          <w:numId w:val="33"/>
        </w:numPr>
        <w:spacing w:before="120" w:after="120" w:line="240" w:lineRule="auto"/>
        <w:ind w:left="1560" w:hanging="567"/>
        <w:rPr>
          <w:rFonts w:cstheme="minorHAnsi"/>
          <w:i/>
          <w:sz w:val="24"/>
          <w:szCs w:val="24"/>
        </w:rPr>
      </w:pPr>
      <w:proofErr w:type="gramStart"/>
      <w:r>
        <w:rPr>
          <w:rFonts w:cstheme="minorHAnsi"/>
          <w:i/>
          <w:sz w:val="24"/>
          <w:szCs w:val="24"/>
        </w:rPr>
        <w:t>the majority of</w:t>
      </w:r>
      <w:proofErr w:type="gramEnd"/>
      <w:r>
        <w:rPr>
          <w:rFonts w:cstheme="minorHAnsi"/>
          <w:i/>
          <w:sz w:val="24"/>
          <w:szCs w:val="24"/>
        </w:rPr>
        <w:t xml:space="preserve"> residents would travel north to access services unavailable in Ruapehu </w:t>
      </w:r>
      <w:r w:rsidR="00A4349F">
        <w:rPr>
          <w:rFonts w:cstheme="minorHAnsi"/>
          <w:i/>
          <w:sz w:val="24"/>
          <w:szCs w:val="24"/>
        </w:rPr>
        <w:t>D</w:t>
      </w:r>
      <w:r>
        <w:rPr>
          <w:rFonts w:cstheme="minorHAnsi"/>
          <w:i/>
          <w:sz w:val="24"/>
          <w:szCs w:val="24"/>
        </w:rPr>
        <w:t>istrict rather than south to the remainder of the district</w:t>
      </w:r>
    </w:p>
    <w:p w14:paraId="424FAEFD" w14:textId="54C1EC54" w:rsidR="00965696" w:rsidRDefault="00965696" w:rsidP="000E27B5">
      <w:pPr>
        <w:pStyle w:val="ListParagraph"/>
        <w:numPr>
          <w:ilvl w:val="0"/>
          <w:numId w:val="33"/>
        </w:numPr>
        <w:spacing w:before="120" w:after="120" w:line="240" w:lineRule="auto"/>
        <w:ind w:left="1560" w:hanging="567"/>
        <w:rPr>
          <w:rFonts w:cstheme="minorHAnsi"/>
          <w:i/>
          <w:sz w:val="24"/>
          <w:szCs w:val="24"/>
        </w:rPr>
      </w:pPr>
      <w:r w:rsidRPr="00965696">
        <w:rPr>
          <w:rFonts w:cstheme="minorHAnsi"/>
          <w:i/>
          <w:sz w:val="24"/>
          <w:szCs w:val="24"/>
        </w:rPr>
        <w:t xml:space="preserve"> </w:t>
      </w:r>
      <w:r>
        <w:rPr>
          <w:rFonts w:cstheme="minorHAnsi"/>
          <w:i/>
          <w:sz w:val="24"/>
          <w:szCs w:val="24"/>
        </w:rPr>
        <w:t xml:space="preserve">the distance between small rural communities within the constituency, and the distance between the constituency and the council’s main offices in Palmerston North, result in a significant travel requirement for one </w:t>
      </w:r>
      <w:proofErr w:type="spellStart"/>
      <w:r>
        <w:rPr>
          <w:rFonts w:cstheme="minorHAnsi"/>
          <w:i/>
          <w:sz w:val="24"/>
          <w:szCs w:val="24"/>
        </w:rPr>
        <w:t>councillor</w:t>
      </w:r>
      <w:proofErr w:type="spellEnd"/>
    </w:p>
    <w:p w14:paraId="2E942C95" w14:textId="47E08510" w:rsidR="00965696" w:rsidRPr="00965696" w:rsidRDefault="00A4349F" w:rsidP="000E27B5">
      <w:pPr>
        <w:pStyle w:val="ListParagraph"/>
        <w:numPr>
          <w:ilvl w:val="0"/>
          <w:numId w:val="33"/>
        </w:numPr>
        <w:spacing w:before="120" w:after="120" w:line="240" w:lineRule="auto"/>
        <w:ind w:left="1560" w:hanging="567"/>
        <w:rPr>
          <w:rFonts w:cstheme="minorHAnsi"/>
          <w:i/>
          <w:sz w:val="24"/>
          <w:szCs w:val="24"/>
        </w:rPr>
      </w:pPr>
      <w:r>
        <w:rPr>
          <w:rFonts w:cstheme="minorHAnsi"/>
          <w:i/>
          <w:sz w:val="24"/>
          <w:szCs w:val="24"/>
        </w:rPr>
        <w:t>c</w:t>
      </w:r>
      <w:r w:rsidR="00965696">
        <w:rPr>
          <w:rFonts w:cstheme="minorHAnsi"/>
          <w:i/>
          <w:sz w:val="24"/>
          <w:szCs w:val="24"/>
        </w:rPr>
        <w:t>ompliance with the 10% rule would require merging large areas of the Wanganui and/or Rangitikei constituencies</w:t>
      </w:r>
      <w:r>
        <w:rPr>
          <w:rFonts w:cstheme="minorHAnsi"/>
          <w:i/>
          <w:sz w:val="24"/>
          <w:szCs w:val="24"/>
        </w:rPr>
        <w:t xml:space="preserve"> with the Ruapehu District. This would split distinct communities of interest in the Wanganui and Rangitikei constituencies and create unreasonable pressures on one </w:t>
      </w:r>
      <w:proofErr w:type="spellStart"/>
      <w:r>
        <w:rPr>
          <w:rFonts w:cstheme="minorHAnsi"/>
          <w:i/>
          <w:sz w:val="24"/>
          <w:szCs w:val="24"/>
        </w:rPr>
        <w:t>councillor</w:t>
      </w:r>
      <w:proofErr w:type="spellEnd"/>
      <w:r>
        <w:rPr>
          <w:rFonts w:cstheme="minorHAnsi"/>
          <w:i/>
          <w:sz w:val="24"/>
          <w:szCs w:val="24"/>
        </w:rPr>
        <w:t xml:space="preserve"> to effectively represent this extended area.</w:t>
      </w:r>
    </w:p>
    <w:p w14:paraId="0AC2C1EC" w14:textId="6C24BDA5" w:rsidR="00A4349F" w:rsidRDefault="00A4349F" w:rsidP="00BE3E5C">
      <w:pPr>
        <w:pStyle w:val="ListParagraph"/>
        <w:numPr>
          <w:ilvl w:val="0"/>
          <w:numId w:val="25"/>
        </w:numPr>
        <w:spacing w:before="120" w:after="120" w:line="240" w:lineRule="auto"/>
        <w:ind w:hanging="720"/>
        <w:rPr>
          <w:rFonts w:cstheme="minorHAnsi"/>
          <w:sz w:val="24"/>
          <w:szCs w:val="24"/>
        </w:rPr>
      </w:pPr>
      <w:r>
        <w:rPr>
          <w:rFonts w:cstheme="minorHAnsi"/>
          <w:sz w:val="24"/>
          <w:szCs w:val="24"/>
        </w:rPr>
        <w:t xml:space="preserve">Our predecessor commissioners in 2013 agreed with this assessment on the Ruapehu Constituency. We believe the assessment </w:t>
      </w:r>
      <w:proofErr w:type="gramStart"/>
      <w:r>
        <w:rPr>
          <w:rFonts w:cstheme="minorHAnsi"/>
          <w:sz w:val="24"/>
          <w:szCs w:val="24"/>
        </w:rPr>
        <w:t>still remains</w:t>
      </w:r>
      <w:proofErr w:type="gramEnd"/>
      <w:r>
        <w:rPr>
          <w:rFonts w:cstheme="minorHAnsi"/>
          <w:sz w:val="24"/>
          <w:szCs w:val="24"/>
        </w:rPr>
        <w:t xml:space="preserve"> accurate today and the council outlined a number of these arguments again at the hearing.</w:t>
      </w:r>
    </w:p>
    <w:p w14:paraId="588C52CF" w14:textId="0AF90ABE" w:rsidR="00A4349F" w:rsidRDefault="00A4349F" w:rsidP="00BE3E5C">
      <w:pPr>
        <w:pStyle w:val="ListParagraph"/>
        <w:numPr>
          <w:ilvl w:val="0"/>
          <w:numId w:val="25"/>
        </w:numPr>
        <w:spacing w:before="120" w:after="120" w:line="240" w:lineRule="auto"/>
        <w:ind w:hanging="720"/>
        <w:rPr>
          <w:rFonts w:cstheme="minorHAnsi"/>
          <w:sz w:val="24"/>
          <w:szCs w:val="24"/>
        </w:rPr>
      </w:pPr>
      <w:r>
        <w:rPr>
          <w:rFonts w:cstheme="minorHAnsi"/>
          <w:sz w:val="24"/>
          <w:szCs w:val="24"/>
        </w:rPr>
        <w:t xml:space="preserve">On this basis, we endorse the council’s proposal to retain the current Ruapehu Constituency electing one </w:t>
      </w:r>
      <w:proofErr w:type="spellStart"/>
      <w:r>
        <w:rPr>
          <w:rFonts w:cstheme="minorHAnsi"/>
          <w:sz w:val="24"/>
          <w:szCs w:val="24"/>
        </w:rPr>
        <w:t>councillor</w:t>
      </w:r>
      <w:proofErr w:type="spellEnd"/>
      <w:r>
        <w:rPr>
          <w:rFonts w:cstheme="minorHAnsi"/>
          <w:sz w:val="24"/>
          <w:szCs w:val="24"/>
        </w:rPr>
        <w:t>.</w:t>
      </w:r>
    </w:p>
    <w:p w14:paraId="7EFFECBC" w14:textId="6483116F" w:rsidR="008759C4" w:rsidRDefault="00A4349F" w:rsidP="00BE3E5C">
      <w:pPr>
        <w:pStyle w:val="ListParagraph"/>
        <w:numPr>
          <w:ilvl w:val="0"/>
          <w:numId w:val="25"/>
        </w:numPr>
        <w:spacing w:before="120" w:after="120" w:line="240" w:lineRule="auto"/>
        <w:ind w:hanging="720"/>
        <w:rPr>
          <w:rFonts w:cstheme="minorHAnsi"/>
          <w:sz w:val="24"/>
          <w:szCs w:val="24"/>
        </w:rPr>
      </w:pPr>
      <w:r w:rsidRPr="008759C4">
        <w:rPr>
          <w:rFonts w:cstheme="minorHAnsi"/>
          <w:sz w:val="24"/>
          <w:szCs w:val="24"/>
        </w:rPr>
        <w:t xml:space="preserve">We note the wording of section 19V(3)(b) is such that if the Commission considers that effective representation of communities of interest so requires, constituencies </w:t>
      </w:r>
      <w:r w:rsidR="00BC00CE">
        <w:rPr>
          <w:rFonts w:cstheme="minorHAnsi"/>
          <w:sz w:val="24"/>
          <w:szCs w:val="24"/>
        </w:rPr>
        <w:t xml:space="preserve">(generally) </w:t>
      </w:r>
      <w:r w:rsidRPr="008759C4">
        <w:rPr>
          <w:rFonts w:cstheme="minorHAnsi"/>
          <w:sz w:val="24"/>
          <w:szCs w:val="24"/>
        </w:rPr>
        <w:t>may be defined and membership</w:t>
      </w:r>
      <w:r w:rsidR="00F85971" w:rsidRPr="008759C4">
        <w:rPr>
          <w:rFonts w:cstheme="minorHAnsi"/>
          <w:sz w:val="24"/>
          <w:szCs w:val="24"/>
        </w:rPr>
        <w:t xml:space="preserve"> distributed between them in a way that does not comply with section 19</w:t>
      </w:r>
      <w:proofErr w:type="gramStart"/>
      <w:r w:rsidR="00F85971" w:rsidRPr="008759C4">
        <w:rPr>
          <w:rFonts w:cstheme="minorHAnsi"/>
          <w:sz w:val="24"/>
          <w:szCs w:val="24"/>
        </w:rPr>
        <w:t>V(</w:t>
      </w:r>
      <w:proofErr w:type="gramEnd"/>
      <w:r w:rsidR="00F85971" w:rsidRPr="008759C4">
        <w:rPr>
          <w:rFonts w:cstheme="minorHAnsi"/>
          <w:sz w:val="24"/>
          <w:szCs w:val="24"/>
        </w:rPr>
        <w:t>2). We see this as enabling some compensation for the permitted over- or under-representation of one constituency in other constituencies.</w:t>
      </w:r>
      <w:r w:rsidR="008759C4" w:rsidRPr="008759C4">
        <w:rPr>
          <w:rFonts w:cstheme="minorHAnsi"/>
          <w:sz w:val="24"/>
          <w:szCs w:val="24"/>
        </w:rPr>
        <w:t xml:space="preserve"> </w:t>
      </w:r>
      <w:r w:rsidR="008759C4">
        <w:rPr>
          <w:rFonts w:cstheme="minorHAnsi"/>
          <w:sz w:val="24"/>
          <w:szCs w:val="24"/>
        </w:rPr>
        <w:t xml:space="preserve">In other word, </w:t>
      </w:r>
      <w:r w:rsidR="00F85971" w:rsidRPr="008759C4">
        <w:rPr>
          <w:rFonts w:cstheme="minorHAnsi"/>
          <w:sz w:val="24"/>
          <w:szCs w:val="24"/>
        </w:rPr>
        <w:t>variance</w:t>
      </w:r>
      <w:r w:rsidR="008759C4">
        <w:rPr>
          <w:rFonts w:cstheme="minorHAnsi"/>
          <w:sz w:val="24"/>
          <w:szCs w:val="24"/>
        </w:rPr>
        <w:t>s</w:t>
      </w:r>
      <w:r w:rsidR="00F85971" w:rsidRPr="008759C4">
        <w:rPr>
          <w:rFonts w:cstheme="minorHAnsi"/>
          <w:sz w:val="24"/>
          <w:szCs w:val="24"/>
        </w:rPr>
        <w:t xml:space="preserve"> to the ‘+/-10% rule’ may also be </w:t>
      </w:r>
      <w:proofErr w:type="spellStart"/>
      <w:r w:rsidR="00F85971" w:rsidRPr="008759C4">
        <w:rPr>
          <w:rFonts w:cstheme="minorHAnsi"/>
          <w:sz w:val="24"/>
          <w:szCs w:val="24"/>
        </w:rPr>
        <w:t>permi</w:t>
      </w:r>
      <w:r w:rsidR="008759C4">
        <w:rPr>
          <w:rFonts w:cstheme="minorHAnsi"/>
          <w:sz w:val="24"/>
          <w:szCs w:val="24"/>
        </w:rPr>
        <w:t>ssable</w:t>
      </w:r>
      <w:proofErr w:type="spellEnd"/>
      <w:r w:rsidR="00F85971" w:rsidRPr="008759C4">
        <w:rPr>
          <w:rFonts w:cstheme="minorHAnsi"/>
          <w:sz w:val="24"/>
          <w:szCs w:val="24"/>
        </w:rPr>
        <w:t xml:space="preserve"> in other constituencies. </w:t>
      </w:r>
    </w:p>
    <w:p w14:paraId="65B8C6BA" w14:textId="776C8DC3" w:rsidR="008759C4" w:rsidRPr="008759C4" w:rsidRDefault="00F85971" w:rsidP="00BE3E5C">
      <w:pPr>
        <w:pStyle w:val="ListParagraph"/>
        <w:numPr>
          <w:ilvl w:val="0"/>
          <w:numId w:val="25"/>
        </w:numPr>
        <w:spacing w:before="120" w:after="120" w:line="240" w:lineRule="auto"/>
        <w:ind w:hanging="720"/>
        <w:rPr>
          <w:rFonts w:cstheme="minorHAnsi"/>
          <w:sz w:val="24"/>
          <w:szCs w:val="24"/>
        </w:rPr>
      </w:pPr>
      <w:r w:rsidRPr="008759C4">
        <w:rPr>
          <w:rFonts w:cstheme="minorHAnsi"/>
          <w:sz w:val="24"/>
          <w:szCs w:val="24"/>
        </w:rPr>
        <w:t xml:space="preserve">We note variances </w:t>
      </w:r>
      <w:r w:rsidR="00CF632B" w:rsidRPr="008759C4">
        <w:rPr>
          <w:rFonts w:cstheme="minorHAnsi"/>
          <w:sz w:val="24"/>
          <w:szCs w:val="24"/>
        </w:rPr>
        <w:t>we</w:t>
      </w:r>
      <w:r w:rsidRPr="008759C4">
        <w:rPr>
          <w:rFonts w:cstheme="minorHAnsi"/>
          <w:sz w:val="24"/>
          <w:szCs w:val="24"/>
        </w:rPr>
        <w:t xml:space="preserve">re proposed </w:t>
      </w:r>
      <w:r w:rsidR="00CF632B" w:rsidRPr="008759C4">
        <w:rPr>
          <w:rFonts w:cstheme="minorHAnsi"/>
          <w:sz w:val="24"/>
          <w:szCs w:val="24"/>
        </w:rPr>
        <w:t xml:space="preserve">by the council </w:t>
      </w:r>
      <w:r w:rsidRPr="008759C4">
        <w:rPr>
          <w:rFonts w:cstheme="minorHAnsi"/>
          <w:sz w:val="24"/>
          <w:szCs w:val="24"/>
        </w:rPr>
        <w:t xml:space="preserve">in the Wanganui and </w:t>
      </w:r>
      <w:proofErr w:type="spellStart"/>
      <w:r w:rsidRPr="008759C4">
        <w:rPr>
          <w:rFonts w:cstheme="minorHAnsi"/>
          <w:sz w:val="24"/>
          <w:szCs w:val="24"/>
        </w:rPr>
        <w:t>Tararua</w:t>
      </w:r>
      <w:proofErr w:type="spellEnd"/>
      <w:r w:rsidRPr="008759C4">
        <w:rPr>
          <w:rFonts w:cstheme="minorHAnsi"/>
          <w:sz w:val="24"/>
          <w:szCs w:val="24"/>
        </w:rPr>
        <w:t xml:space="preserve"> constituencies and these are both marginal variations. </w:t>
      </w:r>
      <w:r w:rsidR="008759C4" w:rsidRPr="008759C4">
        <w:rPr>
          <w:rFonts w:cstheme="minorHAnsi"/>
          <w:sz w:val="24"/>
          <w:szCs w:val="24"/>
        </w:rPr>
        <w:t xml:space="preserve">Again, these constituencies mirror distinct communities of interest as constituted in 1989. There is little scope, particularly in the case of </w:t>
      </w:r>
      <w:proofErr w:type="spellStart"/>
      <w:r w:rsidR="008759C4" w:rsidRPr="008759C4">
        <w:rPr>
          <w:rFonts w:cstheme="minorHAnsi"/>
          <w:sz w:val="24"/>
          <w:szCs w:val="24"/>
        </w:rPr>
        <w:t>Tararua</w:t>
      </w:r>
      <w:proofErr w:type="spellEnd"/>
      <w:r w:rsidR="008759C4" w:rsidRPr="008759C4">
        <w:rPr>
          <w:rFonts w:cstheme="minorHAnsi"/>
          <w:sz w:val="24"/>
          <w:szCs w:val="24"/>
        </w:rPr>
        <w:t xml:space="preserve"> Constituency given the geography of the area, to alter these constituency boundaries without a significantly detrimental impact on effective representation.</w:t>
      </w:r>
    </w:p>
    <w:p w14:paraId="6BB9709E" w14:textId="1A876A07" w:rsidR="00F85971" w:rsidRDefault="00A53628" w:rsidP="00BE3E5C">
      <w:pPr>
        <w:pStyle w:val="ListParagraph"/>
        <w:numPr>
          <w:ilvl w:val="0"/>
          <w:numId w:val="25"/>
        </w:numPr>
        <w:spacing w:before="120" w:after="120" w:line="240" w:lineRule="auto"/>
        <w:ind w:hanging="720"/>
        <w:rPr>
          <w:rFonts w:cstheme="minorHAnsi"/>
          <w:sz w:val="24"/>
          <w:szCs w:val="24"/>
        </w:rPr>
      </w:pPr>
      <w:r>
        <w:rPr>
          <w:rFonts w:cstheme="minorHAnsi"/>
          <w:sz w:val="24"/>
          <w:szCs w:val="24"/>
        </w:rPr>
        <w:t>While t</w:t>
      </w:r>
      <w:r w:rsidR="00CF632B">
        <w:rPr>
          <w:rFonts w:cstheme="minorHAnsi"/>
          <w:sz w:val="24"/>
          <w:szCs w:val="24"/>
        </w:rPr>
        <w:t xml:space="preserve">he variances </w:t>
      </w:r>
      <w:proofErr w:type="gramStart"/>
      <w:r w:rsidR="00CF632B">
        <w:rPr>
          <w:rFonts w:cstheme="minorHAnsi"/>
          <w:sz w:val="24"/>
          <w:szCs w:val="24"/>
        </w:rPr>
        <w:t>as a result of</w:t>
      </w:r>
      <w:proofErr w:type="gramEnd"/>
      <w:r w:rsidR="00CF632B">
        <w:rPr>
          <w:rFonts w:cstheme="minorHAnsi"/>
          <w:sz w:val="24"/>
          <w:szCs w:val="24"/>
        </w:rPr>
        <w:t xml:space="preserve"> our alteration to the Manawatu-Rangitikei Constituency</w:t>
      </w:r>
      <w:r>
        <w:rPr>
          <w:rFonts w:cstheme="minorHAnsi"/>
          <w:sz w:val="24"/>
          <w:szCs w:val="24"/>
        </w:rPr>
        <w:t xml:space="preserve"> are slightly higher</w:t>
      </w:r>
      <w:r w:rsidR="008759C4">
        <w:rPr>
          <w:rFonts w:cstheme="minorHAnsi"/>
          <w:sz w:val="24"/>
          <w:szCs w:val="24"/>
        </w:rPr>
        <w:t>,</w:t>
      </w:r>
      <w:r>
        <w:rPr>
          <w:rFonts w:cstheme="minorHAnsi"/>
          <w:sz w:val="24"/>
          <w:szCs w:val="24"/>
        </w:rPr>
        <w:t xml:space="preserve"> we believe, as we have argued above, these are necessary for the achievement of effective representation for the communities of interest concerned. </w:t>
      </w:r>
    </w:p>
    <w:p w14:paraId="19DEDF12" w14:textId="75FF1A5B" w:rsidR="00BE3E5C" w:rsidRDefault="00BE3E5C" w:rsidP="00BE3E5C">
      <w:pPr>
        <w:pStyle w:val="ListParagraph"/>
        <w:numPr>
          <w:ilvl w:val="0"/>
          <w:numId w:val="25"/>
        </w:numPr>
        <w:spacing w:before="120" w:after="120" w:line="240" w:lineRule="auto"/>
        <w:ind w:hanging="720"/>
        <w:rPr>
          <w:rFonts w:cstheme="minorHAnsi"/>
          <w:sz w:val="24"/>
          <w:szCs w:val="24"/>
        </w:rPr>
      </w:pPr>
      <w:r w:rsidRPr="004B6B4A">
        <w:rPr>
          <w:rFonts w:cstheme="minorHAnsi"/>
          <w:sz w:val="24"/>
          <w:szCs w:val="24"/>
        </w:rPr>
        <w:t xml:space="preserve">In conclusion, we consider </w:t>
      </w:r>
      <w:r w:rsidR="00A53628">
        <w:rPr>
          <w:rFonts w:cstheme="minorHAnsi"/>
          <w:sz w:val="24"/>
          <w:szCs w:val="24"/>
        </w:rPr>
        <w:t xml:space="preserve">the slightly amended </w:t>
      </w:r>
      <w:r w:rsidRPr="004B6B4A">
        <w:rPr>
          <w:rFonts w:cstheme="minorHAnsi"/>
          <w:sz w:val="24"/>
          <w:szCs w:val="24"/>
        </w:rPr>
        <w:t xml:space="preserve">arrangements </w:t>
      </w:r>
      <w:r w:rsidR="00A53628">
        <w:rPr>
          <w:rFonts w:cstheme="minorHAnsi"/>
          <w:sz w:val="24"/>
          <w:szCs w:val="24"/>
        </w:rPr>
        <w:t xml:space="preserve">we have set out above, still </w:t>
      </w:r>
      <w:r w:rsidRPr="004B6B4A">
        <w:rPr>
          <w:rFonts w:cstheme="minorHAnsi"/>
          <w:sz w:val="24"/>
          <w:szCs w:val="24"/>
        </w:rPr>
        <w:t>provid</w:t>
      </w:r>
      <w:r w:rsidR="00A53628">
        <w:rPr>
          <w:rFonts w:cstheme="minorHAnsi"/>
          <w:sz w:val="24"/>
          <w:szCs w:val="24"/>
        </w:rPr>
        <w:t xml:space="preserve">ing for a council comprising 12 </w:t>
      </w:r>
      <w:proofErr w:type="spellStart"/>
      <w:r w:rsidR="00A53628">
        <w:rPr>
          <w:rFonts w:cstheme="minorHAnsi"/>
          <w:sz w:val="24"/>
          <w:szCs w:val="24"/>
        </w:rPr>
        <w:t>councillors</w:t>
      </w:r>
      <w:proofErr w:type="spellEnd"/>
      <w:r w:rsidR="00A53628">
        <w:rPr>
          <w:rFonts w:cstheme="minorHAnsi"/>
          <w:sz w:val="24"/>
          <w:szCs w:val="24"/>
        </w:rPr>
        <w:t xml:space="preserve"> elected from six constituencies, is</w:t>
      </w:r>
      <w:r w:rsidRPr="004B6B4A">
        <w:rPr>
          <w:rFonts w:cstheme="minorHAnsi"/>
          <w:sz w:val="24"/>
          <w:szCs w:val="24"/>
        </w:rPr>
        <w:t xml:space="preserve"> an appropriate balance between </w:t>
      </w:r>
      <w:r w:rsidR="00A53628">
        <w:rPr>
          <w:rFonts w:cstheme="minorHAnsi"/>
          <w:sz w:val="24"/>
          <w:szCs w:val="24"/>
        </w:rPr>
        <w:t xml:space="preserve">statutory </w:t>
      </w:r>
      <w:r w:rsidRPr="004B6B4A">
        <w:rPr>
          <w:rFonts w:cstheme="minorHAnsi"/>
          <w:sz w:val="24"/>
          <w:szCs w:val="24"/>
        </w:rPr>
        <w:t xml:space="preserve">requirements for both fair </w:t>
      </w:r>
      <w:r w:rsidR="00A53628">
        <w:rPr>
          <w:rFonts w:cstheme="minorHAnsi"/>
          <w:sz w:val="24"/>
          <w:szCs w:val="24"/>
        </w:rPr>
        <w:t xml:space="preserve">representation for electors </w:t>
      </w:r>
      <w:r w:rsidRPr="004B6B4A">
        <w:rPr>
          <w:rFonts w:cstheme="minorHAnsi"/>
          <w:sz w:val="24"/>
          <w:szCs w:val="24"/>
        </w:rPr>
        <w:t>and effective representation</w:t>
      </w:r>
      <w:r w:rsidR="00A53628">
        <w:rPr>
          <w:rFonts w:cstheme="minorHAnsi"/>
          <w:sz w:val="24"/>
          <w:szCs w:val="24"/>
        </w:rPr>
        <w:t xml:space="preserve"> for communities of interest</w:t>
      </w:r>
      <w:r w:rsidRPr="004B6B4A">
        <w:rPr>
          <w:rFonts w:cstheme="minorHAnsi"/>
          <w:sz w:val="24"/>
          <w:szCs w:val="24"/>
        </w:rPr>
        <w:t xml:space="preserve">. </w:t>
      </w:r>
    </w:p>
    <w:p w14:paraId="07CC0B25" w14:textId="39A47F54" w:rsidR="008759C4" w:rsidRPr="008759C4" w:rsidRDefault="008759C4" w:rsidP="008759C4">
      <w:pPr>
        <w:spacing w:before="120" w:after="120" w:line="240" w:lineRule="auto"/>
        <w:rPr>
          <w:rFonts w:cstheme="minorHAnsi"/>
          <w:b/>
          <w:i/>
          <w:sz w:val="24"/>
          <w:szCs w:val="24"/>
        </w:rPr>
      </w:pPr>
      <w:r>
        <w:rPr>
          <w:rFonts w:cstheme="minorHAnsi"/>
          <w:b/>
          <w:i/>
          <w:sz w:val="24"/>
          <w:szCs w:val="24"/>
        </w:rPr>
        <w:t>Names of constituencies</w:t>
      </w:r>
    </w:p>
    <w:p w14:paraId="7B2D0021" w14:textId="6A619F06" w:rsidR="008759C4" w:rsidRDefault="00475154" w:rsidP="00BE3E5C">
      <w:pPr>
        <w:pStyle w:val="ListParagraph"/>
        <w:numPr>
          <w:ilvl w:val="0"/>
          <w:numId w:val="25"/>
        </w:numPr>
        <w:spacing w:before="120" w:after="120" w:line="240" w:lineRule="auto"/>
        <w:ind w:hanging="720"/>
        <w:rPr>
          <w:rFonts w:cstheme="minorHAnsi"/>
          <w:sz w:val="24"/>
          <w:szCs w:val="24"/>
        </w:rPr>
      </w:pPr>
      <w:r>
        <w:rPr>
          <w:rFonts w:cstheme="minorHAnsi"/>
          <w:sz w:val="24"/>
          <w:szCs w:val="24"/>
        </w:rPr>
        <w:t>We are aware that the council</w:t>
      </w:r>
      <w:r w:rsidR="000E27B5">
        <w:rPr>
          <w:rFonts w:cstheme="minorHAnsi"/>
          <w:sz w:val="24"/>
          <w:szCs w:val="24"/>
        </w:rPr>
        <w:t xml:space="preserve"> has sought approval from the New Zealand Geographic Board to change the name of the region to </w:t>
      </w:r>
      <w:proofErr w:type="spellStart"/>
      <w:r w:rsidR="000E27B5">
        <w:rPr>
          <w:rFonts w:cstheme="minorHAnsi"/>
          <w:sz w:val="24"/>
          <w:szCs w:val="24"/>
        </w:rPr>
        <w:t>Manawat</w:t>
      </w:r>
      <w:r w:rsidR="000E27B5" w:rsidRPr="005B6F67">
        <w:rPr>
          <w:sz w:val="24"/>
          <w:szCs w:val="24"/>
        </w:rPr>
        <w:t>ū</w:t>
      </w:r>
      <w:proofErr w:type="spellEnd"/>
      <w:r w:rsidR="000E27B5" w:rsidRPr="000E27B5">
        <w:rPr>
          <w:sz w:val="24"/>
          <w:szCs w:val="24"/>
        </w:rPr>
        <w:t>-Whanganui Region. While this has yet to be</w:t>
      </w:r>
      <w:r w:rsidR="000E27B5">
        <w:rPr>
          <w:rFonts w:cstheme="minorHAnsi"/>
          <w:sz w:val="24"/>
          <w:szCs w:val="24"/>
        </w:rPr>
        <w:t xml:space="preserve"> approved, we believe it would be appropriate also to reflect these preferred names in the region’s constituencies.</w:t>
      </w:r>
      <w:r w:rsidR="000E27B5" w:rsidRPr="000E27B5">
        <w:rPr>
          <w:rFonts w:cstheme="minorHAnsi"/>
          <w:sz w:val="24"/>
          <w:szCs w:val="24"/>
        </w:rPr>
        <w:t xml:space="preserve"> </w:t>
      </w:r>
    </w:p>
    <w:p w14:paraId="40F9B3D3" w14:textId="03378AAC" w:rsidR="000E27B5" w:rsidRPr="001C4AE8" w:rsidRDefault="000E27B5" w:rsidP="00BE3E5C">
      <w:pPr>
        <w:pStyle w:val="ListParagraph"/>
        <w:numPr>
          <w:ilvl w:val="0"/>
          <w:numId w:val="25"/>
        </w:numPr>
        <w:spacing w:before="120" w:after="120" w:line="240" w:lineRule="auto"/>
        <w:ind w:hanging="720"/>
        <w:rPr>
          <w:rFonts w:cstheme="minorHAnsi"/>
          <w:sz w:val="24"/>
          <w:szCs w:val="24"/>
        </w:rPr>
      </w:pPr>
      <w:r>
        <w:rPr>
          <w:rFonts w:cstheme="minorHAnsi"/>
          <w:sz w:val="24"/>
          <w:szCs w:val="24"/>
        </w:rPr>
        <w:t>With the support of the council, we therefore determine the names of the two constituencies concerned will be ‘Whanganui Constituency’ and ‘</w:t>
      </w:r>
      <w:proofErr w:type="spellStart"/>
      <w:r>
        <w:rPr>
          <w:rFonts w:cstheme="minorHAnsi"/>
          <w:sz w:val="24"/>
          <w:szCs w:val="24"/>
        </w:rPr>
        <w:t>Manawat</w:t>
      </w:r>
      <w:r w:rsidRPr="000E27B5">
        <w:rPr>
          <w:sz w:val="24"/>
          <w:szCs w:val="24"/>
        </w:rPr>
        <w:t>ū</w:t>
      </w:r>
      <w:proofErr w:type="spellEnd"/>
      <w:r w:rsidRPr="000E27B5">
        <w:rPr>
          <w:sz w:val="24"/>
          <w:szCs w:val="24"/>
        </w:rPr>
        <w:t>-Rangitikei Constituency’.</w:t>
      </w:r>
    </w:p>
    <w:p w14:paraId="47822A88" w14:textId="77777777" w:rsidR="001C4AE8" w:rsidRPr="001C4AE8" w:rsidRDefault="001C4AE8" w:rsidP="001C4AE8">
      <w:pPr>
        <w:spacing w:before="120" w:after="120"/>
        <w:rPr>
          <w:rFonts w:cstheme="minorHAnsi"/>
          <w:b/>
          <w:sz w:val="28"/>
          <w:szCs w:val="28"/>
        </w:rPr>
      </w:pPr>
      <w:r w:rsidRPr="001C4AE8">
        <w:rPr>
          <w:rFonts w:cstheme="minorHAnsi"/>
          <w:b/>
          <w:sz w:val="28"/>
          <w:szCs w:val="28"/>
        </w:rPr>
        <w:t>Commission’s determination</w:t>
      </w:r>
    </w:p>
    <w:p w14:paraId="73F9752A" w14:textId="4F3244C5" w:rsidR="00BE3E5C" w:rsidRPr="001C4AE8" w:rsidRDefault="001C4AE8" w:rsidP="00FC5259">
      <w:pPr>
        <w:pStyle w:val="ListParagraph"/>
        <w:numPr>
          <w:ilvl w:val="0"/>
          <w:numId w:val="25"/>
        </w:numPr>
        <w:spacing w:before="120" w:after="120" w:line="240" w:lineRule="auto"/>
        <w:ind w:hanging="720"/>
        <w:rPr>
          <w:rFonts w:cstheme="minorHAnsi"/>
          <w:sz w:val="24"/>
          <w:szCs w:val="24"/>
        </w:rPr>
      </w:pPr>
      <w:r w:rsidRPr="004B6B4A">
        <w:rPr>
          <w:rFonts w:cstheme="minorHAnsi"/>
          <w:sz w:val="24"/>
          <w:szCs w:val="24"/>
        </w:rPr>
        <w:t xml:space="preserve">Under section 19R of the Local Electoral Act 2001, the Commission determines that for the general election of the </w:t>
      </w:r>
      <w:r>
        <w:rPr>
          <w:rFonts w:cstheme="minorHAnsi"/>
          <w:sz w:val="24"/>
          <w:szCs w:val="24"/>
        </w:rPr>
        <w:t>Manawatu-</w:t>
      </w:r>
      <w:r w:rsidRPr="004B6B4A">
        <w:rPr>
          <w:rFonts w:cstheme="minorHAnsi"/>
          <w:sz w:val="24"/>
          <w:szCs w:val="24"/>
        </w:rPr>
        <w:t>W</w:t>
      </w:r>
      <w:r>
        <w:rPr>
          <w:rFonts w:cstheme="minorHAnsi"/>
          <w:sz w:val="24"/>
          <w:szCs w:val="24"/>
        </w:rPr>
        <w:t>anganui</w:t>
      </w:r>
      <w:r w:rsidRPr="004B6B4A">
        <w:rPr>
          <w:rFonts w:cstheme="minorHAnsi"/>
          <w:sz w:val="24"/>
          <w:szCs w:val="24"/>
        </w:rPr>
        <w:t xml:space="preserve"> Regional Council to be held on 12 October 2019, the following arrangements will apply</w:t>
      </w:r>
      <w:r>
        <w:rPr>
          <w:rFonts w:cstheme="minorHAnsi"/>
          <w:sz w:val="24"/>
          <w:szCs w:val="24"/>
        </w:rPr>
        <w:t>:</w:t>
      </w:r>
    </w:p>
    <w:p w14:paraId="4410D347" w14:textId="34B1EE1E" w:rsidR="00BE3E5C" w:rsidRPr="004B6B4A" w:rsidRDefault="00E06B76" w:rsidP="00BE3E5C">
      <w:pPr>
        <w:pStyle w:val="ListParagraph"/>
        <w:keepLines/>
        <w:numPr>
          <w:ilvl w:val="1"/>
          <w:numId w:val="28"/>
        </w:numPr>
        <w:spacing w:after="120" w:line="240" w:lineRule="auto"/>
        <w:rPr>
          <w:rFonts w:cstheme="minorHAnsi"/>
          <w:sz w:val="24"/>
          <w:szCs w:val="24"/>
        </w:rPr>
      </w:pPr>
      <w:r>
        <w:rPr>
          <w:rFonts w:cstheme="minorHAnsi"/>
          <w:sz w:val="24"/>
          <w:szCs w:val="24"/>
        </w:rPr>
        <w:t>Manawatu-</w:t>
      </w:r>
      <w:r w:rsidR="00BE3E5C" w:rsidRPr="004B6B4A">
        <w:rPr>
          <w:rFonts w:cstheme="minorHAnsi"/>
          <w:sz w:val="24"/>
          <w:szCs w:val="24"/>
        </w:rPr>
        <w:t>W</w:t>
      </w:r>
      <w:r>
        <w:rPr>
          <w:rFonts w:cstheme="minorHAnsi"/>
          <w:sz w:val="24"/>
          <w:szCs w:val="24"/>
        </w:rPr>
        <w:t>anganui</w:t>
      </w:r>
      <w:r w:rsidR="00BE3E5C" w:rsidRPr="004B6B4A">
        <w:rPr>
          <w:rFonts w:cstheme="minorHAnsi"/>
          <w:sz w:val="24"/>
          <w:szCs w:val="24"/>
        </w:rPr>
        <w:t xml:space="preserve"> Region, as delineated on Plan </w:t>
      </w:r>
      <w:r>
        <w:rPr>
          <w:rFonts w:cstheme="minorHAnsi"/>
          <w:sz w:val="24"/>
          <w:szCs w:val="24"/>
        </w:rPr>
        <w:t>LG-08-2019-Con-1 d</w:t>
      </w:r>
      <w:r w:rsidR="00BE3E5C" w:rsidRPr="004B6B4A">
        <w:rPr>
          <w:rFonts w:cstheme="minorHAnsi"/>
          <w:sz w:val="24"/>
          <w:szCs w:val="24"/>
        </w:rPr>
        <w:t xml:space="preserve">eposited with </w:t>
      </w:r>
      <w:r>
        <w:rPr>
          <w:rFonts w:cstheme="minorHAnsi"/>
          <w:sz w:val="24"/>
          <w:szCs w:val="24"/>
        </w:rPr>
        <w:t xml:space="preserve">the </w:t>
      </w:r>
      <w:r w:rsidR="00BE3E5C" w:rsidRPr="004B6B4A">
        <w:rPr>
          <w:rFonts w:cstheme="minorHAnsi"/>
          <w:sz w:val="24"/>
          <w:szCs w:val="24"/>
        </w:rPr>
        <w:t>L</w:t>
      </w:r>
      <w:r>
        <w:rPr>
          <w:rFonts w:cstheme="minorHAnsi"/>
          <w:sz w:val="24"/>
          <w:szCs w:val="24"/>
        </w:rPr>
        <w:t>oc</w:t>
      </w:r>
      <w:r w:rsidR="00BE3E5C" w:rsidRPr="004B6B4A">
        <w:rPr>
          <w:rFonts w:cstheme="minorHAnsi"/>
          <w:sz w:val="24"/>
          <w:szCs w:val="24"/>
        </w:rPr>
        <w:t>a</w:t>
      </w:r>
      <w:r>
        <w:rPr>
          <w:rFonts w:cstheme="minorHAnsi"/>
          <w:sz w:val="24"/>
          <w:szCs w:val="24"/>
        </w:rPr>
        <w:t>l Government Co</w:t>
      </w:r>
      <w:r w:rsidR="00BE3E5C" w:rsidRPr="004B6B4A">
        <w:rPr>
          <w:rFonts w:cstheme="minorHAnsi"/>
          <w:sz w:val="24"/>
          <w:szCs w:val="24"/>
        </w:rPr>
        <w:t>m</w:t>
      </w:r>
      <w:r>
        <w:rPr>
          <w:rFonts w:cstheme="minorHAnsi"/>
          <w:sz w:val="24"/>
          <w:szCs w:val="24"/>
        </w:rPr>
        <w:t>miss</w:t>
      </w:r>
      <w:r w:rsidR="00BE3E5C" w:rsidRPr="004B6B4A">
        <w:rPr>
          <w:rFonts w:cstheme="minorHAnsi"/>
          <w:sz w:val="24"/>
          <w:szCs w:val="24"/>
        </w:rPr>
        <w:t>ion, will be divided into six constituencies.</w:t>
      </w:r>
    </w:p>
    <w:p w14:paraId="3B0F9751" w14:textId="77777777" w:rsidR="00BE3E5C" w:rsidRPr="004B6B4A" w:rsidRDefault="00BE3E5C" w:rsidP="00BE3E5C">
      <w:pPr>
        <w:pStyle w:val="ListParagraph"/>
        <w:keepLines/>
        <w:numPr>
          <w:ilvl w:val="1"/>
          <w:numId w:val="28"/>
        </w:numPr>
        <w:spacing w:after="120" w:line="240" w:lineRule="auto"/>
        <w:rPr>
          <w:rFonts w:cstheme="minorHAnsi"/>
          <w:sz w:val="24"/>
          <w:szCs w:val="24"/>
        </w:rPr>
      </w:pPr>
      <w:r w:rsidRPr="004B6B4A">
        <w:rPr>
          <w:rFonts w:cstheme="minorHAnsi"/>
          <w:sz w:val="24"/>
          <w:szCs w:val="24"/>
        </w:rPr>
        <w:t>Those six constituencies will be:</w:t>
      </w:r>
    </w:p>
    <w:p w14:paraId="602CC023" w14:textId="50A73609" w:rsidR="00BE3E5C" w:rsidRPr="004B6B4A" w:rsidRDefault="00E06B76" w:rsidP="00BE3E5C">
      <w:pPr>
        <w:pStyle w:val="ListParagraph"/>
        <w:keepLines/>
        <w:numPr>
          <w:ilvl w:val="2"/>
          <w:numId w:val="29"/>
        </w:numPr>
        <w:spacing w:after="120" w:line="240" w:lineRule="auto"/>
        <w:ind w:left="2268" w:hanging="288"/>
        <w:rPr>
          <w:rFonts w:cstheme="minorHAnsi"/>
          <w:sz w:val="24"/>
          <w:szCs w:val="24"/>
        </w:rPr>
      </w:pPr>
      <w:r>
        <w:rPr>
          <w:rFonts w:cstheme="minorHAnsi"/>
          <w:sz w:val="24"/>
          <w:szCs w:val="24"/>
        </w:rPr>
        <w:t>Ruapehu</w:t>
      </w:r>
      <w:r w:rsidR="00BE3E5C" w:rsidRPr="004B6B4A">
        <w:rPr>
          <w:rFonts w:cstheme="minorHAnsi"/>
          <w:sz w:val="24"/>
          <w:szCs w:val="24"/>
        </w:rPr>
        <w:t xml:space="preserve"> Constituency, comprising the area delineated on SO Plan 3</w:t>
      </w:r>
      <w:r>
        <w:rPr>
          <w:rFonts w:cstheme="minorHAnsi"/>
          <w:sz w:val="24"/>
          <w:szCs w:val="24"/>
        </w:rPr>
        <w:t>6017</w:t>
      </w:r>
      <w:r w:rsidR="00BE3E5C" w:rsidRPr="004B6B4A">
        <w:rPr>
          <w:rFonts w:cstheme="minorHAnsi"/>
          <w:sz w:val="24"/>
          <w:szCs w:val="24"/>
        </w:rPr>
        <w:t xml:space="preserve"> deposited with Land Information New Zealand</w:t>
      </w:r>
    </w:p>
    <w:p w14:paraId="2FD3E405" w14:textId="015DE93D" w:rsidR="00BE3E5C" w:rsidRPr="004B6B4A" w:rsidRDefault="00E06B76" w:rsidP="00BE3E5C">
      <w:pPr>
        <w:pStyle w:val="ListParagraph"/>
        <w:keepLines/>
        <w:numPr>
          <w:ilvl w:val="2"/>
          <w:numId w:val="29"/>
        </w:numPr>
        <w:spacing w:after="120" w:line="240" w:lineRule="auto"/>
        <w:ind w:left="2268" w:hanging="321"/>
        <w:rPr>
          <w:rFonts w:cstheme="minorHAnsi"/>
          <w:sz w:val="24"/>
          <w:szCs w:val="24"/>
        </w:rPr>
      </w:pPr>
      <w:r>
        <w:rPr>
          <w:rFonts w:cstheme="minorHAnsi"/>
          <w:sz w:val="24"/>
          <w:szCs w:val="24"/>
        </w:rPr>
        <w:t xml:space="preserve">Whanganui </w:t>
      </w:r>
      <w:r w:rsidR="00BE3E5C" w:rsidRPr="004B6B4A">
        <w:rPr>
          <w:rFonts w:cstheme="minorHAnsi"/>
          <w:sz w:val="24"/>
          <w:szCs w:val="24"/>
        </w:rPr>
        <w:t>Constituency, comprising the area delineated on SO Plan 3</w:t>
      </w:r>
      <w:r>
        <w:rPr>
          <w:rFonts w:cstheme="minorHAnsi"/>
          <w:sz w:val="24"/>
          <w:szCs w:val="24"/>
        </w:rPr>
        <w:t>6016</w:t>
      </w:r>
      <w:r w:rsidR="00BE3E5C" w:rsidRPr="004B6B4A">
        <w:rPr>
          <w:rFonts w:cstheme="minorHAnsi"/>
          <w:sz w:val="24"/>
          <w:szCs w:val="24"/>
        </w:rPr>
        <w:t xml:space="preserve"> deposited with Land Information New Zealand</w:t>
      </w:r>
    </w:p>
    <w:p w14:paraId="0A11B3A4" w14:textId="7AD4DD54" w:rsidR="00BE3E5C" w:rsidRPr="004B6B4A" w:rsidRDefault="00E06B76" w:rsidP="00BE3E5C">
      <w:pPr>
        <w:pStyle w:val="ListParagraph"/>
        <w:keepLines/>
        <w:numPr>
          <w:ilvl w:val="2"/>
          <w:numId w:val="29"/>
        </w:numPr>
        <w:spacing w:after="120" w:line="240" w:lineRule="auto"/>
        <w:ind w:left="2268" w:hanging="321"/>
        <w:rPr>
          <w:rFonts w:cstheme="minorHAnsi"/>
          <w:sz w:val="24"/>
          <w:szCs w:val="24"/>
        </w:rPr>
      </w:pPr>
      <w:proofErr w:type="spellStart"/>
      <w:r>
        <w:rPr>
          <w:rFonts w:cstheme="minorHAnsi"/>
          <w:sz w:val="24"/>
          <w:szCs w:val="24"/>
        </w:rPr>
        <w:t>Manawat</w:t>
      </w:r>
      <w:r w:rsidRPr="005B6F67">
        <w:rPr>
          <w:sz w:val="24"/>
          <w:szCs w:val="24"/>
        </w:rPr>
        <w:t>ū</w:t>
      </w:r>
      <w:proofErr w:type="spellEnd"/>
      <w:r w:rsidRPr="00E06B76">
        <w:rPr>
          <w:sz w:val="24"/>
          <w:szCs w:val="24"/>
        </w:rPr>
        <w:t>-Rangitikei</w:t>
      </w:r>
      <w:r w:rsidR="00BE3E5C" w:rsidRPr="004B6B4A">
        <w:rPr>
          <w:rFonts w:cstheme="minorHAnsi"/>
          <w:sz w:val="24"/>
          <w:szCs w:val="24"/>
        </w:rPr>
        <w:t xml:space="preserve"> Constituency, comprising the area of land delineated on Plan </w:t>
      </w:r>
      <w:r>
        <w:rPr>
          <w:rFonts w:cstheme="minorHAnsi"/>
          <w:sz w:val="24"/>
          <w:szCs w:val="24"/>
        </w:rPr>
        <w:t>LG-08-2019-Con-2</w:t>
      </w:r>
      <w:r w:rsidR="00BE3E5C">
        <w:rPr>
          <w:rFonts w:cstheme="minorHAnsi"/>
          <w:sz w:val="24"/>
          <w:szCs w:val="24"/>
        </w:rPr>
        <w:t xml:space="preserve"> </w:t>
      </w:r>
      <w:r w:rsidR="00BE3E5C" w:rsidRPr="004B6B4A">
        <w:rPr>
          <w:rFonts w:cstheme="minorHAnsi"/>
          <w:sz w:val="24"/>
          <w:szCs w:val="24"/>
        </w:rPr>
        <w:t xml:space="preserve">deposited with </w:t>
      </w:r>
      <w:r>
        <w:rPr>
          <w:rFonts w:cstheme="minorHAnsi"/>
          <w:sz w:val="24"/>
          <w:szCs w:val="24"/>
        </w:rPr>
        <w:t xml:space="preserve">the </w:t>
      </w:r>
      <w:r w:rsidR="00BE3E5C" w:rsidRPr="004B6B4A">
        <w:rPr>
          <w:rFonts w:cstheme="minorHAnsi"/>
          <w:sz w:val="24"/>
          <w:szCs w:val="24"/>
        </w:rPr>
        <w:t>L</w:t>
      </w:r>
      <w:r>
        <w:rPr>
          <w:rFonts w:cstheme="minorHAnsi"/>
          <w:sz w:val="24"/>
          <w:szCs w:val="24"/>
        </w:rPr>
        <w:t>oc</w:t>
      </w:r>
      <w:r w:rsidR="00BE3E5C" w:rsidRPr="004B6B4A">
        <w:rPr>
          <w:rFonts w:cstheme="minorHAnsi"/>
          <w:sz w:val="24"/>
          <w:szCs w:val="24"/>
        </w:rPr>
        <w:t>a</w:t>
      </w:r>
      <w:r>
        <w:rPr>
          <w:rFonts w:cstheme="minorHAnsi"/>
          <w:sz w:val="24"/>
          <w:szCs w:val="24"/>
        </w:rPr>
        <w:t>l Government Com</w:t>
      </w:r>
      <w:r w:rsidR="00BE3E5C" w:rsidRPr="004B6B4A">
        <w:rPr>
          <w:rFonts w:cstheme="minorHAnsi"/>
          <w:sz w:val="24"/>
          <w:szCs w:val="24"/>
        </w:rPr>
        <w:t>m</w:t>
      </w:r>
      <w:r>
        <w:rPr>
          <w:rFonts w:cstheme="minorHAnsi"/>
          <w:sz w:val="24"/>
          <w:szCs w:val="24"/>
        </w:rPr>
        <w:t>iss</w:t>
      </w:r>
      <w:r w:rsidR="00BE3E5C" w:rsidRPr="004B6B4A">
        <w:rPr>
          <w:rFonts w:cstheme="minorHAnsi"/>
          <w:sz w:val="24"/>
          <w:szCs w:val="24"/>
        </w:rPr>
        <w:t>ion</w:t>
      </w:r>
    </w:p>
    <w:p w14:paraId="6425558B" w14:textId="2738156F" w:rsidR="00BE3E5C" w:rsidRDefault="00E06B76" w:rsidP="00BE3E5C">
      <w:pPr>
        <w:pStyle w:val="ListParagraph"/>
        <w:keepLines/>
        <w:numPr>
          <w:ilvl w:val="2"/>
          <w:numId w:val="29"/>
        </w:numPr>
        <w:spacing w:after="120" w:line="240" w:lineRule="auto"/>
        <w:ind w:left="2268" w:hanging="321"/>
        <w:rPr>
          <w:rFonts w:cstheme="minorHAnsi"/>
          <w:sz w:val="24"/>
          <w:szCs w:val="24"/>
        </w:rPr>
      </w:pPr>
      <w:r>
        <w:rPr>
          <w:rFonts w:cstheme="minorHAnsi"/>
          <w:sz w:val="24"/>
          <w:szCs w:val="24"/>
        </w:rPr>
        <w:t>Palmerston North</w:t>
      </w:r>
      <w:r w:rsidR="00BE3E5C" w:rsidRPr="004B6B4A">
        <w:rPr>
          <w:rFonts w:cstheme="minorHAnsi"/>
          <w:sz w:val="24"/>
          <w:szCs w:val="24"/>
        </w:rPr>
        <w:t xml:space="preserve"> Constituency, comprising the area of land delineated on Plan </w:t>
      </w:r>
      <w:r>
        <w:rPr>
          <w:rFonts w:cstheme="minorHAnsi"/>
          <w:sz w:val="24"/>
          <w:szCs w:val="24"/>
        </w:rPr>
        <w:t>LG-08-2013</w:t>
      </w:r>
      <w:r w:rsidR="00DD6406">
        <w:rPr>
          <w:rFonts w:cstheme="minorHAnsi"/>
          <w:sz w:val="24"/>
          <w:szCs w:val="24"/>
        </w:rPr>
        <w:t>-Con-</w:t>
      </w:r>
      <w:r w:rsidR="00BE3E5C" w:rsidRPr="004B6B4A">
        <w:rPr>
          <w:rFonts w:cstheme="minorHAnsi"/>
          <w:sz w:val="24"/>
          <w:szCs w:val="24"/>
        </w:rPr>
        <w:t>3</w:t>
      </w:r>
      <w:r w:rsidR="00BE3E5C">
        <w:rPr>
          <w:rFonts w:cstheme="minorHAnsi"/>
          <w:sz w:val="24"/>
          <w:szCs w:val="24"/>
        </w:rPr>
        <w:t xml:space="preserve"> </w:t>
      </w:r>
      <w:r w:rsidR="00BE3E5C" w:rsidRPr="004B6B4A">
        <w:rPr>
          <w:rFonts w:cstheme="minorHAnsi"/>
          <w:sz w:val="24"/>
          <w:szCs w:val="24"/>
        </w:rPr>
        <w:t xml:space="preserve">deposited with </w:t>
      </w:r>
      <w:r w:rsidR="00DD6406">
        <w:rPr>
          <w:rFonts w:cstheme="minorHAnsi"/>
          <w:sz w:val="24"/>
          <w:szCs w:val="24"/>
        </w:rPr>
        <w:t xml:space="preserve">the </w:t>
      </w:r>
      <w:r w:rsidR="00BE3E5C" w:rsidRPr="004B6B4A">
        <w:rPr>
          <w:rFonts w:cstheme="minorHAnsi"/>
          <w:sz w:val="24"/>
          <w:szCs w:val="24"/>
        </w:rPr>
        <w:t>L</w:t>
      </w:r>
      <w:r w:rsidR="00DD6406">
        <w:rPr>
          <w:rFonts w:cstheme="minorHAnsi"/>
          <w:sz w:val="24"/>
          <w:szCs w:val="24"/>
        </w:rPr>
        <w:t>oc</w:t>
      </w:r>
      <w:r w:rsidR="00BE3E5C" w:rsidRPr="004B6B4A">
        <w:rPr>
          <w:rFonts w:cstheme="minorHAnsi"/>
          <w:sz w:val="24"/>
          <w:szCs w:val="24"/>
        </w:rPr>
        <w:t>a</w:t>
      </w:r>
      <w:r w:rsidR="00DD6406">
        <w:rPr>
          <w:rFonts w:cstheme="minorHAnsi"/>
          <w:sz w:val="24"/>
          <w:szCs w:val="24"/>
        </w:rPr>
        <w:t>l Government Com</w:t>
      </w:r>
      <w:r w:rsidR="00BE3E5C" w:rsidRPr="004B6B4A">
        <w:rPr>
          <w:rFonts w:cstheme="minorHAnsi"/>
          <w:sz w:val="24"/>
          <w:szCs w:val="24"/>
        </w:rPr>
        <w:t>m</w:t>
      </w:r>
      <w:r w:rsidR="00DD6406">
        <w:rPr>
          <w:rFonts w:cstheme="minorHAnsi"/>
          <w:sz w:val="24"/>
          <w:szCs w:val="24"/>
        </w:rPr>
        <w:t>iss</w:t>
      </w:r>
      <w:r w:rsidR="00BE3E5C" w:rsidRPr="004B6B4A">
        <w:rPr>
          <w:rFonts w:cstheme="minorHAnsi"/>
          <w:sz w:val="24"/>
          <w:szCs w:val="24"/>
        </w:rPr>
        <w:t>ion</w:t>
      </w:r>
    </w:p>
    <w:p w14:paraId="2D9AF7DA" w14:textId="2C6F79A0" w:rsidR="00DD6406" w:rsidRPr="004B6B4A" w:rsidRDefault="00DD6406" w:rsidP="00BE3E5C">
      <w:pPr>
        <w:pStyle w:val="ListParagraph"/>
        <w:keepLines/>
        <w:numPr>
          <w:ilvl w:val="2"/>
          <w:numId w:val="29"/>
        </w:numPr>
        <w:spacing w:after="120" w:line="240" w:lineRule="auto"/>
        <w:ind w:left="2268" w:hanging="321"/>
        <w:rPr>
          <w:rFonts w:cstheme="minorHAnsi"/>
          <w:sz w:val="24"/>
          <w:szCs w:val="24"/>
        </w:rPr>
      </w:pPr>
      <w:proofErr w:type="spellStart"/>
      <w:r>
        <w:rPr>
          <w:rFonts w:cstheme="minorHAnsi"/>
          <w:sz w:val="24"/>
          <w:szCs w:val="24"/>
        </w:rPr>
        <w:t>Horowhenua</w:t>
      </w:r>
      <w:proofErr w:type="spellEnd"/>
      <w:r>
        <w:rPr>
          <w:rFonts w:cstheme="minorHAnsi"/>
          <w:sz w:val="24"/>
          <w:szCs w:val="24"/>
        </w:rPr>
        <w:t xml:space="preserve"> Constituency, comprising the area of land delineated on Plan LG-08-2019-Con-3 deposited with the Local Government Commission</w:t>
      </w:r>
    </w:p>
    <w:p w14:paraId="074FB3D4" w14:textId="1F764BE1" w:rsidR="00BE3E5C" w:rsidRPr="004B6B4A" w:rsidRDefault="00DD6406" w:rsidP="00BE3E5C">
      <w:pPr>
        <w:pStyle w:val="ListParagraph"/>
        <w:keepLines/>
        <w:numPr>
          <w:ilvl w:val="2"/>
          <w:numId w:val="29"/>
        </w:numPr>
        <w:spacing w:after="120" w:line="240" w:lineRule="auto"/>
        <w:ind w:left="2268" w:hanging="321"/>
        <w:rPr>
          <w:rFonts w:cstheme="minorHAnsi"/>
          <w:sz w:val="24"/>
          <w:szCs w:val="24"/>
        </w:rPr>
      </w:pPr>
      <w:proofErr w:type="spellStart"/>
      <w:r>
        <w:rPr>
          <w:rFonts w:cstheme="minorHAnsi"/>
          <w:sz w:val="24"/>
          <w:szCs w:val="24"/>
        </w:rPr>
        <w:t>Tararua</w:t>
      </w:r>
      <w:proofErr w:type="spellEnd"/>
      <w:r w:rsidR="00BE3E5C" w:rsidRPr="004B6B4A">
        <w:rPr>
          <w:rFonts w:cstheme="minorHAnsi"/>
          <w:sz w:val="24"/>
          <w:szCs w:val="24"/>
        </w:rPr>
        <w:t xml:space="preserve"> Constituency, comprising the area of land delineated on SO Plan 3</w:t>
      </w:r>
      <w:r>
        <w:rPr>
          <w:rFonts w:cstheme="minorHAnsi"/>
          <w:sz w:val="24"/>
          <w:szCs w:val="24"/>
        </w:rPr>
        <w:t>7400</w:t>
      </w:r>
      <w:r w:rsidR="00BE3E5C">
        <w:rPr>
          <w:rFonts w:cstheme="minorHAnsi"/>
          <w:sz w:val="24"/>
          <w:szCs w:val="24"/>
        </w:rPr>
        <w:t xml:space="preserve"> </w:t>
      </w:r>
      <w:r w:rsidR="00BE3E5C" w:rsidRPr="004B6B4A">
        <w:rPr>
          <w:rFonts w:cstheme="minorHAnsi"/>
          <w:sz w:val="24"/>
          <w:szCs w:val="24"/>
        </w:rPr>
        <w:t>deposited with Land Information New Zealand</w:t>
      </w:r>
      <w:r w:rsidR="00E814B9">
        <w:rPr>
          <w:rFonts w:cstheme="minorHAnsi"/>
          <w:sz w:val="24"/>
          <w:szCs w:val="24"/>
        </w:rPr>
        <w:t>.</w:t>
      </w:r>
    </w:p>
    <w:p w14:paraId="17B288EF" w14:textId="054C8F6D" w:rsidR="00BE3E5C" w:rsidRPr="004B6B4A" w:rsidRDefault="00BE3E5C" w:rsidP="00BE3E5C">
      <w:pPr>
        <w:pStyle w:val="ListParagraph"/>
        <w:keepLines/>
        <w:numPr>
          <w:ilvl w:val="1"/>
          <w:numId w:val="28"/>
        </w:numPr>
        <w:spacing w:after="120" w:line="240" w:lineRule="auto"/>
        <w:rPr>
          <w:rFonts w:cstheme="minorHAnsi"/>
          <w:sz w:val="24"/>
          <w:szCs w:val="24"/>
        </w:rPr>
      </w:pPr>
      <w:r w:rsidRPr="004B6B4A">
        <w:rPr>
          <w:rFonts w:cstheme="minorHAnsi"/>
          <w:sz w:val="24"/>
          <w:szCs w:val="24"/>
        </w:rPr>
        <w:t xml:space="preserve">The </w:t>
      </w:r>
      <w:r w:rsidR="00DD6406">
        <w:rPr>
          <w:rFonts w:cstheme="minorHAnsi"/>
          <w:sz w:val="24"/>
          <w:szCs w:val="24"/>
        </w:rPr>
        <w:t>Manawatu-Wanganui</w:t>
      </w:r>
      <w:r w:rsidRPr="004B6B4A">
        <w:rPr>
          <w:rFonts w:cstheme="minorHAnsi"/>
          <w:sz w:val="24"/>
          <w:szCs w:val="24"/>
        </w:rPr>
        <w:t xml:space="preserve"> Regional Council will comprise 1</w:t>
      </w:r>
      <w:r w:rsidR="00DD6406">
        <w:rPr>
          <w:rFonts w:cstheme="minorHAnsi"/>
          <w:sz w:val="24"/>
          <w:szCs w:val="24"/>
        </w:rPr>
        <w:t>2</w:t>
      </w:r>
      <w:r w:rsidRPr="004B6B4A">
        <w:rPr>
          <w:rFonts w:cstheme="minorHAnsi"/>
          <w:sz w:val="24"/>
          <w:szCs w:val="24"/>
        </w:rPr>
        <w:t xml:space="preserve"> </w:t>
      </w:r>
      <w:proofErr w:type="spellStart"/>
      <w:r w:rsidRPr="004B6B4A">
        <w:rPr>
          <w:rFonts w:cstheme="minorHAnsi"/>
          <w:sz w:val="24"/>
          <w:szCs w:val="24"/>
        </w:rPr>
        <w:t>councillors</w:t>
      </w:r>
      <w:proofErr w:type="spellEnd"/>
      <w:r w:rsidRPr="004B6B4A">
        <w:rPr>
          <w:rFonts w:cstheme="minorHAnsi"/>
          <w:sz w:val="24"/>
          <w:szCs w:val="24"/>
        </w:rPr>
        <w:t xml:space="preserve"> elected as follows:</w:t>
      </w:r>
    </w:p>
    <w:p w14:paraId="373C0627" w14:textId="6D95E6EF" w:rsidR="00BE3E5C" w:rsidRPr="004B6B4A" w:rsidRDefault="00BE3E5C" w:rsidP="00BE3E5C">
      <w:pPr>
        <w:pStyle w:val="ListParagraph"/>
        <w:keepLines/>
        <w:numPr>
          <w:ilvl w:val="2"/>
          <w:numId w:val="30"/>
        </w:numPr>
        <w:spacing w:after="120" w:line="240" w:lineRule="auto"/>
        <w:ind w:left="2268" w:hanging="288"/>
        <w:rPr>
          <w:rFonts w:cstheme="minorHAnsi"/>
          <w:sz w:val="24"/>
          <w:szCs w:val="24"/>
        </w:rPr>
      </w:pPr>
      <w:r w:rsidRPr="004B6B4A">
        <w:rPr>
          <w:rFonts w:cstheme="minorHAnsi"/>
          <w:sz w:val="24"/>
          <w:szCs w:val="24"/>
        </w:rPr>
        <w:t xml:space="preserve">one </w:t>
      </w:r>
      <w:proofErr w:type="spellStart"/>
      <w:r w:rsidRPr="004B6B4A">
        <w:rPr>
          <w:rFonts w:cstheme="minorHAnsi"/>
          <w:sz w:val="24"/>
          <w:szCs w:val="24"/>
        </w:rPr>
        <w:t>councillor</w:t>
      </w:r>
      <w:proofErr w:type="spellEnd"/>
      <w:r w:rsidRPr="004B6B4A">
        <w:rPr>
          <w:rFonts w:cstheme="minorHAnsi"/>
          <w:sz w:val="24"/>
          <w:szCs w:val="24"/>
        </w:rPr>
        <w:t xml:space="preserve"> elected by the electors of </w:t>
      </w:r>
      <w:r w:rsidR="00DD6406">
        <w:rPr>
          <w:rFonts w:cstheme="minorHAnsi"/>
          <w:sz w:val="24"/>
          <w:szCs w:val="24"/>
        </w:rPr>
        <w:t>Ruapehu</w:t>
      </w:r>
      <w:r w:rsidRPr="004B6B4A">
        <w:rPr>
          <w:rFonts w:cstheme="minorHAnsi"/>
          <w:sz w:val="24"/>
          <w:szCs w:val="24"/>
        </w:rPr>
        <w:t xml:space="preserve"> Constituency</w:t>
      </w:r>
    </w:p>
    <w:p w14:paraId="14C4CB08" w14:textId="0F1D764A" w:rsidR="00BE3E5C" w:rsidRPr="004B6B4A" w:rsidRDefault="00BE3E5C" w:rsidP="00BE3E5C">
      <w:pPr>
        <w:pStyle w:val="ListParagraph"/>
        <w:keepLines/>
        <w:numPr>
          <w:ilvl w:val="2"/>
          <w:numId w:val="30"/>
        </w:numPr>
        <w:spacing w:after="120" w:line="240" w:lineRule="auto"/>
        <w:ind w:left="2268" w:hanging="288"/>
        <w:rPr>
          <w:rFonts w:cstheme="minorHAnsi"/>
          <w:sz w:val="24"/>
          <w:szCs w:val="24"/>
        </w:rPr>
      </w:pPr>
      <w:r w:rsidRPr="004B6B4A">
        <w:rPr>
          <w:rFonts w:cstheme="minorHAnsi"/>
          <w:sz w:val="24"/>
          <w:szCs w:val="24"/>
        </w:rPr>
        <w:t xml:space="preserve">two </w:t>
      </w:r>
      <w:proofErr w:type="spellStart"/>
      <w:r w:rsidRPr="004B6B4A">
        <w:rPr>
          <w:rFonts w:cstheme="minorHAnsi"/>
          <w:sz w:val="24"/>
          <w:szCs w:val="24"/>
        </w:rPr>
        <w:t>councillors</w:t>
      </w:r>
      <w:proofErr w:type="spellEnd"/>
      <w:r w:rsidRPr="004B6B4A">
        <w:rPr>
          <w:rFonts w:cstheme="minorHAnsi"/>
          <w:sz w:val="24"/>
          <w:szCs w:val="24"/>
        </w:rPr>
        <w:t xml:space="preserve"> elected by the electors of </w:t>
      </w:r>
      <w:r w:rsidR="00DD6406">
        <w:rPr>
          <w:rFonts w:cstheme="minorHAnsi"/>
          <w:sz w:val="24"/>
          <w:szCs w:val="24"/>
        </w:rPr>
        <w:t xml:space="preserve">Whanganui </w:t>
      </w:r>
      <w:r w:rsidRPr="004B6B4A">
        <w:rPr>
          <w:rFonts w:cstheme="minorHAnsi"/>
          <w:sz w:val="24"/>
          <w:szCs w:val="24"/>
        </w:rPr>
        <w:t>Constituency</w:t>
      </w:r>
    </w:p>
    <w:p w14:paraId="5CADA29C" w14:textId="48E6E7D6" w:rsidR="00BE3E5C" w:rsidRPr="004B6B4A" w:rsidRDefault="00DD6406" w:rsidP="00BE3E5C">
      <w:pPr>
        <w:pStyle w:val="ListParagraph"/>
        <w:keepLines/>
        <w:numPr>
          <w:ilvl w:val="2"/>
          <w:numId w:val="30"/>
        </w:numPr>
        <w:spacing w:after="120" w:line="240" w:lineRule="auto"/>
        <w:ind w:left="2268" w:hanging="288"/>
        <w:rPr>
          <w:rFonts w:cstheme="minorHAnsi"/>
          <w:sz w:val="24"/>
          <w:szCs w:val="24"/>
        </w:rPr>
      </w:pPr>
      <w:r>
        <w:rPr>
          <w:rFonts w:cstheme="minorHAnsi"/>
          <w:sz w:val="24"/>
          <w:szCs w:val="24"/>
        </w:rPr>
        <w:t>two</w:t>
      </w:r>
      <w:r w:rsidR="00BE3E5C" w:rsidRPr="004B6B4A">
        <w:rPr>
          <w:rFonts w:cstheme="minorHAnsi"/>
          <w:sz w:val="24"/>
          <w:szCs w:val="24"/>
        </w:rPr>
        <w:t xml:space="preserve"> </w:t>
      </w:r>
      <w:proofErr w:type="spellStart"/>
      <w:r w:rsidR="00BE3E5C" w:rsidRPr="004B6B4A">
        <w:rPr>
          <w:rFonts w:cstheme="minorHAnsi"/>
          <w:sz w:val="24"/>
          <w:szCs w:val="24"/>
        </w:rPr>
        <w:t>councillors</w:t>
      </w:r>
      <w:proofErr w:type="spellEnd"/>
      <w:r w:rsidR="00BE3E5C" w:rsidRPr="004B6B4A">
        <w:rPr>
          <w:rFonts w:cstheme="minorHAnsi"/>
          <w:sz w:val="24"/>
          <w:szCs w:val="24"/>
        </w:rPr>
        <w:t xml:space="preserve"> elected by the electors of </w:t>
      </w:r>
      <w:proofErr w:type="spellStart"/>
      <w:r>
        <w:rPr>
          <w:rFonts w:cstheme="minorHAnsi"/>
          <w:sz w:val="24"/>
          <w:szCs w:val="24"/>
        </w:rPr>
        <w:t>Manawat</w:t>
      </w:r>
      <w:r w:rsidRPr="005B6F67">
        <w:rPr>
          <w:sz w:val="24"/>
          <w:szCs w:val="24"/>
        </w:rPr>
        <w:t>ū</w:t>
      </w:r>
      <w:proofErr w:type="spellEnd"/>
      <w:r w:rsidRPr="005B6F67">
        <w:rPr>
          <w:sz w:val="24"/>
          <w:szCs w:val="24"/>
        </w:rPr>
        <w:t xml:space="preserve">-Rangitikei </w:t>
      </w:r>
      <w:r w:rsidR="00BE3E5C" w:rsidRPr="004B6B4A">
        <w:rPr>
          <w:rFonts w:cstheme="minorHAnsi"/>
          <w:sz w:val="24"/>
          <w:szCs w:val="24"/>
        </w:rPr>
        <w:t>Constituency</w:t>
      </w:r>
    </w:p>
    <w:p w14:paraId="0C441710" w14:textId="27658DE7" w:rsidR="00BE3E5C" w:rsidRPr="004B6B4A" w:rsidRDefault="00DD6406" w:rsidP="00BE3E5C">
      <w:pPr>
        <w:pStyle w:val="ListParagraph"/>
        <w:keepLines/>
        <w:numPr>
          <w:ilvl w:val="2"/>
          <w:numId w:val="30"/>
        </w:numPr>
        <w:spacing w:after="120" w:line="240" w:lineRule="auto"/>
        <w:ind w:left="2268" w:hanging="288"/>
        <w:rPr>
          <w:rFonts w:cstheme="minorHAnsi"/>
          <w:sz w:val="24"/>
          <w:szCs w:val="24"/>
        </w:rPr>
      </w:pPr>
      <w:r>
        <w:rPr>
          <w:rFonts w:cstheme="minorHAnsi"/>
          <w:sz w:val="24"/>
          <w:szCs w:val="24"/>
        </w:rPr>
        <w:t>four</w:t>
      </w:r>
      <w:r w:rsidR="00BE3E5C" w:rsidRPr="004B6B4A">
        <w:rPr>
          <w:rFonts w:cstheme="minorHAnsi"/>
          <w:sz w:val="24"/>
          <w:szCs w:val="24"/>
        </w:rPr>
        <w:t xml:space="preserve"> </w:t>
      </w:r>
      <w:proofErr w:type="spellStart"/>
      <w:r w:rsidR="00BE3E5C" w:rsidRPr="004B6B4A">
        <w:rPr>
          <w:rFonts w:cstheme="minorHAnsi"/>
          <w:sz w:val="24"/>
          <w:szCs w:val="24"/>
        </w:rPr>
        <w:t>councillors</w:t>
      </w:r>
      <w:proofErr w:type="spellEnd"/>
      <w:r w:rsidR="00BE3E5C" w:rsidRPr="004B6B4A">
        <w:rPr>
          <w:rFonts w:cstheme="minorHAnsi"/>
          <w:sz w:val="24"/>
          <w:szCs w:val="24"/>
        </w:rPr>
        <w:t xml:space="preserve"> elected by the electors of </w:t>
      </w:r>
      <w:r>
        <w:rPr>
          <w:rFonts w:cstheme="minorHAnsi"/>
          <w:sz w:val="24"/>
          <w:szCs w:val="24"/>
        </w:rPr>
        <w:t>Palmerston North</w:t>
      </w:r>
      <w:r w:rsidR="00BE3E5C" w:rsidRPr="004B6B4A">
        <w:rPr>
          <w:rFonts w:cstheme="minorHAnsi"/>
          <w:sz w:val="24"/>
          <w:szCs w:val="24"/>
        </w:rPr>
        <w:t xml:space="preserve"> Constituency</w:t>
      </w:r>
    </w:p>
    <w:p w14:paraId="2B3572DE" w14:textId="5E45CDFC" w:rsidR="00BE3E5C" w:rsidRPr="004B6B4A" w:rsidRDefault="00DD6406" w:rsidP="00BE3E5C">
      <w:pPr>
        <w:pStyle w:val="ListParagraph"/>
        <w:keepLines/>
        <w:numPr>
          <w:ilvl w:val="2"/>
          <w:numId w:val="30"/>
        </w:numPr>
        <w:spacing w:after="120" w:line="240" w:lineRule="auto"/>
        <w:ind w:left="2268" w:hanging="288"/>
        <w:rPr>
          <w:rFonts w:cstheme="minorHAnsi"/>
          <w:sz w:val="24"/>
          <w:szCs w:val="24"/>
        </w:rPr>
      </w:pPr>
      <w:r>
        <w:rPr>
          <w:rFonts w:cstheme="minorHAnsi"/>
          <w:sz w:val="24"/>
          <w:szCs w:val="24"/>
        </w:rPr>
        <w:t>tw</w:t>
      </w:r>
      <w:r w:rsidR="00BE3E5C" w:rsidRPr="004B6B4A">
        <w:rPr>
          <w:rFonts w:cstheme="minorHAnsi"/>
          <w:sz w:val="24"/>
          <w:szCs w:val="24"/>
        </w:rPr>
        <w:t>o</w:t>
      </w:r>
      <w:r>
        <w:rPr>
          <w:rFonts w:cstheme="minorHAnsi"/>
          <w:sz w:val="24"/>
          <w:szCs w:val="24"/>
        </w:rPr>
        <w:t xml:space="preserve"> </w:t>
      </w:r>
      <w:proofErr w:type="spellStart"/>
      <w:r w:rsidR="00BE3E5C" w:rsidRPr="004B6B4A">
        <w:rPr>
          <w:rFonts w:cstheme="minorHAnsi"/>
          <w:sz w:val="24"/>
          <w:szCs w:val="24"/>
        </w:rPr>
        <w:t>councillor</w:t>
      </w:r>
      <w:r>
        <w:rPr>
          <w:rFonts w:cstheme="minorHAnsi"/>
          <w:sz w:val="24"/>
          <w:szCs w:val="24"/>
        </w:rPr>
        <w:t>s</w:t>
      </w:r>
      <w:proofErr w:type="spellEnd"/>
      <w:r w:rsidR="00BE3E5C" w:rsidRPr="004B6B4A">
        <w:rPr>
          <w:rFonts w:cstheme="minorHAnsi"/>
          <w:sz w:val="24"/>
          <w:szCs w:val="24"/>
        </w:rPr>
        <w:t xml:space="preserve"> elected by the electors of </w:t>
      </w:r>
      <w:proofErr w:type="spellStart"/>
      <w:r>
        <w:rPr>
          <w:rFonts w:cstheme="minorHAnsi"/>
          <w:sz w:val="24"/>
          <w:szCs w:val="24"/>
        </w:rPr>
        <w:t>Horowhenua</w:t>
      </w:r>
      <w:proofErr w:type="spellEnd"/>
      <w:r w:rsidR="00BE3E5C" w:rsidRPr="004B6B4A">
        <w:rPr>
          <w:rFonts w:cstheme="minorHAnsi"/>
          <w:sz w:val="24"/>
          <w:szCs w:val="24"/>
        </w:rPr>
        <w:t xml:space="preserve"> Constituency</w:t>
      </w:r>
    </w:p>
    <w:p w14:paraId="3C846F03" w14:textId="34915841" w:rsidR="00BE3E5C" w:rsidRPr="004B6B4A" w:rsidRDefault="00BE3E5C" w:rsidP="00BE3E5C">
      <w:pPr>
        <w:pStyle w:val="ListParagraph"/>
        <w:keepLines/>
        <w:numPr>
          <w:ilvl w:val="2"/>
          <w:numId w:val="30"/>
        </w:numPr>
        <w:spacing w:after="120" w:line="240" w:lineRule="auto"/>
        <w:ind w:left="2268" w:hanging="288"/>
        <w:rPr>
          <w:rFonts w:cstheme="minorHAnsi"/>
          <w:sz w:val="24"/>
          <w:szCs w:val="24"/>
        </w:rPr>
      </w:pPr>
      <w:r w:rsidRPr="004B6B4A">
        <w:rPr>
          <w:rFonts w:cstheme="minorHAnsi"/>
          <w:sz w:val="24"/>
          <w:szCs w:val="24"/>
        </w:rPr>
        <w:t xml:space="preserve">one </w:t>
      </w:r>
      <w:proofErr w:type="spellStart"/>
      <w:r w:rsidRPr="004B6B4A">
        <w:rPr>
          <w:rFonts w:cstheme="minorHAnsi"/>
          <w:sz w:val="24"/>
          <w:szCs w:val="24"/>
        </w:rPr>
        <w:t>councillor</w:t>
      </w:r>
      <w:proofErr w:type="spellEnd"/>
      <w:r w:rsidRPr="004B6B4A">
        <w:rPr>
          <w:rFonts w:cstheme="minorHAnsi"/>
          <w:sz w:val="24"/>
          <w:szCs w:val="24"/>
        </w:rPr>
        <w:t xml:space="preserve"> elected by the electors of </w:t>
      </w:r>
      <w:proofErr w:type="spellStart"/>
      <w:r w:rsidR="00DD6406">
        <w:rPr>
          <w:rFonts w:cstheme="minorHAnsi"/>
          <w:sz w:val="24"/>
          <w:szCs w:val="24"/>
        </w:rPr>
        <w:t>Tararua</w:t>
      </w:r>
      <w:proofErr w:type="spellEnd"/>
      <w:r w:rsidRPr="004B6B4A">
        <w:rPr>
          <w:rFonts w:cstheme="minorHAnsi"/>
          <w:sz w:val="24"/>
          <w:szCs w:val="24"/>
        </w:rPr>
        <w:t xml:space="preserve"> Constituency.</w:t>
      </w:r>
    </w:p>
    <w:p w14:paraId="3FA3A10E" w14:textId="77777777" w:rsidR="00BE3E5C" w:rsidRPr="004B6B4A" w:rsidRDefault="00BE3E5C" w:rsidP="00BE3E5C">
      <w:pPr>
        <w:pStyle w:val="ListParagraph"/>
        <w:keepLines/>
        <w:numPr>
          <w:ilvl w:val="0"/>
          <w:numId w:val="25"/>
        </w:numPr>
        <w:spacing w:after="120" w:line="240" w:lineRule="auto"/>
        <w:ind w:hanging="720"/>
        <w:rPr>
          <w:rFonts w:cstheme="minorHAnsi"/>
          <w:sz w:val="24"/>
          <w:szCs w:val="24"/>
        </w:rPr>
      </w:pPr>
      <w:r w:rsidRPr="004B6B4A">
        <w:rPr>
          <w:rFonts w:cstheme="minorHAnsi"/>
          <w:sz w:val="24"/>
          <w:szCs w:val="24"/>
        </w:rPr>
        <w:t xml:space="preserve">As required by section 19U(b) of the Local Electoral Act 2001, the boundaries of the above constituencies coincide with the boundaries of current statistical </w:t>
      </w:r>
      <w:proofErr w:type="spellStart"/>
      <w:r w:rsidRPr="004B6B4A">
        <w:rPr>
          <w:rFonts w:cstheme="minorHAnsi"/>
          <w:sz w:val="24"/>
          <w:szCs w:val="24"/>
        </w:rPr>
        <w:t>meshblock</w:t>
      </w:r>
      <w:proofErr w:type="spellEnd"/>
      <w:r w:rsidRPr="004B6B4A">
        <w:rPr>
          <w:rFonts w:cstheme="minorHAnsi"/>
          <w:sz w:val="24"/>
          <w:szCs w:val="24"/>
        </w:rPr>
        <w:t xml:space="preserve"> areas determined by Statistics New Zealand and used for parliamentary electoral purposes.</w:t>
      </w:r>
    </w:p>
    <w:p w14:paraId="03665D32" w14:textId="77777777" w:rsidR="00BE3E5C" w:rsidRPr="004B6B4A" w:rsidRDefault="00BE3E5C" w:rsidP="00BE3E5C">
      <w:pPr>
        <w:keepLines/>
        <w:spacing w:after="120" w:line="240" w:lineRule="auto"/>
        <w:rPr>
          <w:rFonts w:cstheme="minorHAnsi"/>
          <w:sz w:val="24"/>
          <w:szCs w:val="24"/>
        </w:rPr>
      </w:pPr>
    </w:p>
    <w:p w14:paraId="0912091B" w14:textId="77777777" w:rsidR="00BE3E5C" w:rsidRPr="004B6B4A" w:rsidRDefault="00BE3E5C" w:rsidP="00BE3E5C">
      <w:pPr>
        <w:spacing w:before="120" w:after="240" w:line="240" w:lineRule="auto"/>
        <w:rPr>
          <w:rFonts w:cstheme="minorHAnsi"/>
          <w:b/>
          <w:sz w:val="24"/>
          <w:szCs w:val="24"/>
        </w:rPr>
      </w:pPr>
      <w:r w:rsidRPr="004B6B4A">
        <w:rPr>
          <w:rFonts w:cstheme="minorHAnsi"/>
          <w:b/>
          <w:sz w:val="24"/>
          <w:szCs w:val="24"/>
        </w:rPr>
        <w:t>Local Government Commission</w:t>
      </w:r>
    </w:p>
    <w:p w14:paraId="465432CD" w14:textId="77777777" w:rsidR="00EE5A80" w:rsidRDefault="00EE5A80" w:rsidP="00BE3E5C">
      <w:pPr>
        <w:spacing w:after="120"/>
        <w:rPr>
          <w:rFonts w:cstheme="minorHAnsi"/>
          <w:sz w:val="24"/>
          <w:szCs w:val="24"/>
        </w:rPr>
      </w:pPr>
      <w:r>
        <w:rPr>
          <w:noProof/>
          <w:lang w:eastAsia="en-NZ"/>
        </w:rPr>
        <w:drawing>
          <wp:inline distT="0" distB="0" distL="0" distR="0" wp14:anchorId="1DBCFD42" wp14:editId="764CA0AB">
            <wp:extent cx="3057165" cy="13094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JPG"/>
                    <pic:cNvPicPr/>
                  </pic:nvPicPr>
                  <pic:blipFill>
                    <a:blip r:embed="rId9">
                      <a:extLst>
                        <a:ext uri="{28A0092B-C50C-407E-A947-70E740481C1C}">
                          <a14:useLocalDpi xmlns:a14="http://schemas.microsoft.com/office/drawing/2010/main" val="0"/>
                        </a:ext>
                      </a:extLst>
                    </a:blip>
                    <a:stretch>
                      <a:fillRect/>
                    </a:stretch>
                  </pic:blipFill>
                  <pic:spPr>
                    <a:xfrm>
                      <a:off x="0" y="0"/>
                      <a:ext cx="3091876" cy="1324287"/>
                    </a:xfrm>
                    <a:prstGeom prst="rect">
                      <a:avLst/>
                    </a:prstGeom>
                  </pic:spPr>
                </pic:pic>
              </a:graphicData>
            </a:graphic>
          </wp:inline>
        </w:drawing>
      </w:r>
    </w:p>
    <w:p w14:paraId="13F3FE4B" w14:textId="0AEFA0A1" w:rsidR="00BE3E5C" w:rsidRDefault="00BE3E5C" w:rsidP="00BE3E5C">
      <w:pPr>
        <w:spacing w:after="120"/>
        <w:rPr>
          <w:rFonts w:cstheme="minorHAnsi"/>
          <w:sz w:val="24"/>
          <w:szCs w:val="24"/>
        </w:rPr>
      </w:pPr>
      <w:r w:rsidRPr="004B6B4A">
        <w:rPr>
          <w:rFonts w:cstheme="minorHAnsi"/>
          <w:sz w:val="24"/>
          <w:szCs w:val="24"/>
        </w:rPr>
        <w:t>Commissioner Pita Paraone (Chairperson)</w:t>
      </w:r>
    </w:p>
    <w:p w14:paraId="25F208CC" w14:textId="77777777" w:rsidR="00EE5A80" w:rsidRPr="004B6B4A" w:rsidRDefault="00EE5A80" w:rsidP="00BE3E5C">
      <w:pPr>
        <w:spacing w:after="120"/>
        <w:rPr>
          <w:rFonts w:cstheme="minorHAnsi"/>
          <w:sz w:val="24"/>
          <w:szCs w:val="24"/>
        </w:rPr>
      </w:pPr>
    </w:p>
    <w:p w14:paraId="65F64E59" w14:textId="77777777" w:rsidR="00EE5A80" w:rsidRPr="004B6B4A" w:rsidRDefault="00EE5A80" w:rsidP="00EE5A80">
      <w:pPr>
        <w:spacing w:after="120"/>
        <w:rPr>
          <w:rFonts w:cstheme="minorHAnsi"/>
          <w:sz w:val="24"/>
          <w:szCs w:val="24"/>
        </w:rPr>
      </w:pPr>
      <w:r>
        <w:rPr>
          <w:noProof/>
          <w:lang w:eastAsia="en-NZ"/>
        </w:rPr>
        <w:drawing>
          <wp:inline distT="0" distB="0" distL="0" distR="0" wp14:anchorId="35289994" wp14:editId="71989628">
            <wp:extent cx="2898015" cy="1258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e.PNG"/>
                    <pic:cNvPicPr/>
                  </pic:nvPicPr>
                  <pic:blipFill>
                    <a:blip r:embed="rId10">
                      <a:extLst>
                        <a:ext uri="{28A0092B-C50C-407E-A947-70E740481C1C}">
                          <a14:useLocalDpi xmlns:a14="http://schemas.microsoft.com/office/drawing/2010/main" val="0"/>
                        </a:ext>
                      </a:extLst>
                    </a:blip>
                    <a:stretch>
                      <a:fillRect/>
                    </a:stretch>
                  </pic:blipFill>
                  <pic:spPr>
                    <a:xfrm>
                      <a:off x="0" y="0"/>
                      <a:ext cx="2907754" cy="1262442"/>
                    </a:xfrm>
                    <a:prstGeom prst="rect">
                      <a:avLst/>
                    </a:prstGeom>
                  </pic:spPr>
                </pic:pic>
              </a:graphicData>
            </a:graphic>
          </wp:inline>
        </w:drawing>
      </w:r>
    </w:p>
    <w:p w14:paraId="510BB7F0" w14:textId="77777777" w:rsidR="00BE3E5C" w:rsidRPr="004B6B4A" w:rsidRDefault="00BE3E5C" w:rsidP="00BE3E5C">
      <w:pPr>
        <w:spacing w:after="120"/>
        <w:rPr>
          <w:rFonts w:cstheme="minorHAnsi"/>
          <w:sz w:val="24"/>
          <w:szCs w:val="24"/>
        </w:rPr>
      </w:pPr>
      <w:r w:rsidRPr="004B6B4A">
        <w:rPr>
          <w:rFonts w:cstheme="minorHAnsi"/>
          <w:sz w:val="24"/>
          <w:szCs w:val="24"/>
        </w:rPr>
        <w:t>Commissioner Janie Annear</w:t>
      </w:r>
    </w:p>
    <w:p w14:paraId="499C48CE" w14:textId="1F0159ED" w:rsidR="00BE3E5C" w:rsidRPr="004B6B4A" w:rsidRDefault="00EE5A80" w:rsidP="00BE3E5C">
      <w:pPr>
        <w:spacing w:after="120"/>
        <w:rPr>
          <w:rFonts w:cstheme="minorHAnsi"/>
          <w:sz w:val="24"/>
          <w:szCs w:val="24"/>
        </w:rPr>
      </w:pPr>
      <w:r>
        <w:rPr>
          <w:noProof/>
          <w:lang w:eastAsia="en-NZ"/>
        </w:rPr>
        <w:drawing>
          <wp:inline distT="0" distB="0" distL="0" distR="0" wp14:anchorId="11E39ABD" wp14:editId="63B3FCA1">
            <wp:extent cx="3528850" cy="1316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998" cy="1317538"/>
                    </a:xfrm>
                    <a:prstGeom prst="rect">
                      <a:avLst/>
                    </a:prstGeom>
                    <a:noFill/>
                    <a:ln>
                      <a:noFill/>
                    </a:ln>
                  </pic:spPr>
                </pic:pic>
              </a:graphicData>
            </a:graphic>
          </wp:inline>
        </w:drawing>
      </w:r>
    </w:p>
    <w:p w14:paraId="0BA1DFC8" w14:textId="77777777" w:rsidR="00BE3E5C" w:rsidRPr="004B6B4A" w:rsidRDefault="00BE3E5C" w:rsidP="00BE3E5C">
      <w:pPr>
        <w:spacing w:after="120"/>
        <w:rPr>
          <w:rFonts w:cstheme="minorHAnsi"/>
          <w:sz w:val="24"/>
          <w:szCs w:val="24"/>
        </w:rPr>
      </w:pPr>
      <w:r w:rsidRPr="004B6B4A">
        <w:rPr>
          <w:rFonts w:cstheme="minorHAnsi"/>
          <w:sz w:val="24"/>
          <w:szCs w:val="24"/>
        </w:rPr>
        <w:t>Commissioner Brendan Duffy</w:t>
      </w:r>
    </w:p>
    <w:p w14:paraId="5C12A012" w14:textId="77777777" w:rsidR="00BE3E5C" w:rsidRPr="00603635" w:rsidRDefault="00BE3E5C" w:rsidP="00BE3E5C"/>
    <w:p w14:paraId="5193B704" w14:textId="273D7B09" w:rsidR="00AE478C" w:rsidRPr="00603635" w:rsidRDefault="00EE5A80" w:rsidP="00603635">
      <w:r>
        <w:t>1 April 2019</w:t>
      </w:r>
      <w:bookmarkStart w:id="0" w:name="_GoBack"/>
      <w:bookmarkEnd w:id="0"/>
    </w:p>
    <w:sectPr w:rsidR="00AE478C" w:rsidRPr="00603635" w:rsidSect="00CF4BE3">
      <w:footerReference w:type="default" r:id="rId12"/>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0CAAC" w14:textId="77777777" w:rsidR="00BE3E5C" w:rsidRDefault="00BE3E5C">
      <w:r>
        <w:separator/>
      </w:r>
    </w:p>
    <w:p w14:paraId="7ECBF775" w14:textId="77777777" w:rsidR="00BE3E5C" w:rsidRDefault="00BE3E5C"/>
    <w:p w14:paraId="71E12E93" w14:textId="77777777" w:rsidR="00BE3E5C" w:rsidRDefault="00BE3E5C"/>
  </w:endnote>
  <w:endnote w:type="continuationSeparator" w:id="0">
    <w:p w14:paraId="66C4ACF8" w14:textId="77777777" w:rsidR="00BE3E5C" w:rsidRDefault="00BE3E5C">
      <w:r>
        <w:continuationSeparator/>
      </w:r>
    </w:p>
    <w:p w14:paraId="222C91C5" w14:textId="77777777" w:rsidR="00BE3E5C" w:rsidRDefault="00BE3E5C"/>
    <w:p w14:paraId="22E0E6B8" w14:textId="77777777" w:rsidR="00BE3E5C" w:rsidRDefault="00BE3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7CB9"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F264" w14:textId="77777777" w:rsidR="00BE3E5C" w:rsidRDefault="00BE3E5C" w:rsidP="00FB1990">
      <w:pPr>
        <w:pStyle w:val="Spacer"/>
      </w:pPr>
      <w:r>
        <w:separator/>
      </w:r>
    </w:p>
  </w:footnote>
  <w:footnote w:type="continuationSeparator" w:id="0">
    <w:p w14:paraId="798151FA" w14:textId="77777777" w:rsidR="00BE3E5C" w:rsidRDefault="00BE3E5C">
      <w:r>
        <w:continuationSeparator/>
      </w:r>
    </w:p>
    <w:p w14:paraId="7132DB1A" w14:textId="77777777" w:rsidR="00BE3E5C" w:rsidRDefault="00BE3E5C"/>
    <w:p w14:paraId="470C7B3E" w14:textId="77777777" w:rsidR="00BE3E5C" w:rsidRDefault="00BE3E5C"/>
  </w:footnote>
  <w:footnote w:id="1">
    <w:p w14:paraId="56BF87B1" w14:textId="4125CC12" w:rsidR="009D24A8" w:rsidRPr="009D24A8" w:rsidRDefault="009D24A8">
      <w:pPr>
        <w:pStyle w:val="FootnoteText"/>
        <w:rPr>
          <w:lang w:val="en-NZ"/>
        </w:rPr>
      </w:pPr>
      <w:r>
        <w:rPr>
          <w:rStyle w:val="FootnoteReference"/>
        </w:rPr>
        <w:footnoteRef/>
      </w:r>
      <w:r>
        <w:t xml:space="preserve"> </w:t>
      </w:r>
      <w:r>
        <w:rPr>
          <w:lang w:val="en-NZ"/>
        </w:rPr>
        <w:t>The Ruapehu Constituency also includes small areas of Waitomo and Stratford districts.</w:t>
      </w:r>
    </w:p>
  </w:footnote>
  <w:footnote w:id="2">
    <w:p w14:paraId="44879984" w14:textId="6B9F4F0D" w:rsidR="000B1710" w:rsidRPr="000B1710" w:rsidRDefault="000B1710">
      <w:pPr>
        <w:pStyle w:val="FootnoteText"/>
        <w:rPr>
          <w:lang w:val="en-NZ"/>
        </w:rPr>
      </w:pPr>
      <w:r>
        <w:rPr>
          <w:rStyle w:val="FootnoteReference"/>
        </w:rPr>
        <w:footnoteRef/>
      </w:r>
      <w:r>
        <w:t xml:space="preserve"> </w:t>
      </w:r>
      <w:r>
        <w:rPr>
          <w:lang w:val="en-NZ"/>
        </w:rPr>
        <w:t xml:space="preserve">The Manawatu-Rangitikei Constituency also includes a small area </w:t>
      </w:r>
      <w:r w:rsidR="00AB7255">
        <w:rPr>
          <w:lang w:val="en-NZ"/>
        </w:rPr>
        <w:t>of Taupo District.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2D534B8"/>
    <w:multiLevelType w:val="hybridMultilevel"/>
    <w:tmpl w:val="7B2CC22C"/>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4F77B31"/>
    <w:multiLevelType w:val="hybridMultilevel"/>
    <w:tmpl w:val="97BC6BA4"/>
    <w:lvl w:ilvl="0" w:tplc="1409000F">
      <w:start w:val="1"/>
      <w:numFmt w:val="decimal"/>
      <w:lvlText w:val="%1."/>
      <w:lvlJc w:val="left"/>
      <w:pPr>
        <w:ind w:left="720" w:hanging="360"/>
      </w:pPr>
    </w:lvl>
    <w:lvl w:ilvl="1" w:tplc="14090011">
      <w:start w:val="1"/>
      <w:numFmt w:val="decimal"/>
      <w:lvlText w:val="%2)"/>
      <w:lvlJc w:val="left"/>
      <w:pPr>
        <w:ind w:left="1440" w:hanging="360"/>
      </w:pPr>
    </w:lvl>
    <w:lvl w:ilvl="2" w:tplc="14090017">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E114088"/>
    <w:multiLevelType w:val="hybridMultilevel"/>
    <w:tmpl w:val="ACDE360E"/>
    <w:lvl w:ilvl="0" w:tplc="1409000F">
      <w:start w:val="1"/>
      <w:numFmt w:val="decimal"/>
      <w:lvlText w:val="%1."/>
      <w:lvlJc w:val="left"/>
      <w:pPr>
        <w:ind w:left="720" w:hanging="360"/>
      </w:pPr>
    </w:lvl>
    <w:lvl w:ilvl="1" w:tplc="14090011">
      <w:start w:val="1"/>
      <w:numFmt w:val="decimal"/>
      <w:lvlText w:val="%2)"/>
      <w:lvlJc w:val="left"/>
      <w:pPr>
        <w:ind w:left="1440" w:hanging="360"/>
      </w:pPr>
    </w:lvl>
    <w:lvl w:ilvl="2" w:tplc="14090017">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E6B582C"/>
    <w:multiLevelType w:val="hybridMultilevel"/>
    <w:tmpl w:val="BBC29A9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74F6F07"/>
    <w:multiLevelType w:val="hybridMultilevel"/>
    <w:tmpl w:val="61C662E0"/>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AAF64F6"/>
    <w:multiLevelType w:val="hybridMultilevel"/>
    <w:tmpl w:val="DFD4872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2C34239"/>
    <w:multiLevelType w:val="hybridMultilevel"/>
    <w:tmpl w:val="8C426B60"/>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4F51FD"/>
    <w:multiLevelType w:val="hybridMultilevel"/>
    <w:tmpl w:val="3DA0A2E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4"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2" w15:restartNumberingAfterBreak="0">
    <w:nsid w:val="79447200"/>
    <w:multiLevelType w:val="hybridMultilevel"/>
    <w:tmpl w:val="57D28BE8"/>
    <w:lvl w:ilvl="0" w:tplc="1409000F">
      <w:start w:val="1"/>
      <w:numFmt w:val="decimal"/>
      <w:lvlText w:val="%1."/>
      <w:lvlJc w:val="left"/>
      <w:pPr>
        <w:ind w:left="720" w:hanging="360"/>
      </w:pPr>
    </w:lvl>
    <w:lvl w:ilvl="1" w:tplc="14090011">
      <w:start w:val="1"/>
      <w:numFmt w:val="decimal"/>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4"/>
  </w:num>
  <w:num w:numId="8">
    <w:abstractNumId w:val="25"/>
  </w:num>
  <w:num w:numId="9">
    <w:abstractNumId w:val="16"/>
  </w:num>
  <w:num w:numId="10">
    <w:abstractNumId w:val="12"/>
  </w:num>
  <w:num w:numId="11">
    <w:abstractNumId w:val="26"/>
  </w:num>
  <w:num w:numId="12">
    <w:abstractNumId w:val="28"/>
  </w:num>
  <w:num w:numId="13">
    <w:abstractNumId w:val="30"/>
  </w:num>
  <w:num w:numId="14">
    <w:abstractNumId w:val="7"/>
  </w:num>
  <w:num w:numId="15">
    <w:abstractNumId w:val="14"/>
  </w:num>
  <w:num w:numId="16">
    <w:abstractNumId w:val="31"/>
  </w:num>
  <w:num w:numId="17">
    <w:abstractNumId w:val="29"/>
  </w:num>
  <w:num w:numId="18">
    <w:abstractNumId w:val="27"/>
  </w:num>
  <w:num w:numId="19">
    <w:abstractNumId w:val="20"/>
  </w:num>
  <w:num w:numId="20">
    <w:abstractNumId w:val="15"/>
  </w:num>
  <w:num w:numId="21">
    <w:abstractNumId w:val="9"/>
  </w:num>
  <w:num w:numId="22">
    <w:abstractNumId w:val="6"/>
  </w:num>
  <w:num w:numId="23">
    <w:abstractNumId w:val="13"/>
  </w:num>
  <w:num w:numId="24">
    <w:abstractNumId w:val="8"/>
  </w:num>
  <w:num w:numId="25">
    <w:abstractNumId w:val="21"/>
  </w:num>
  <w:num w:numId="26">
    <w:abstractNumId w:val="19"/>
  </w:num>
  <w:num w:numId="27">
    <w:abstractNumId w:val="22"/>
  </w:num>
  <w:num w:numId="28">
    <w:abstractNumId w:val="32"/>
  </w:num>
  <w:num w:numId="29">
    <w:abstractNumId w:val="17"/>
  </w:num>
  <w:num w:numId="30">
    <w:abstractNumId w:val="11"/>
  </w:num>
  <w:num w:numId="31">
    <w:abstractNumId w:val="10"/>
  </w:num>
  <w:num w:numId="32">
    <w:abstractNumId w:val="18"/>
  </w:num>
  <w:num w:numId="3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5C"/>
    <w:rsid w:val="00003360"/>
    <w:rsid w:val="00003FC7"/>
    <w:rsid w:val="00005919"/>
    <w:rsid w:val="00005CC6"/>
    <w:rsid w:val="00007C42"/>
    <w:rsid w:val="00015020"/>
    <w:rsid w:val="0001647B"/>
    <w:rsid w:val="00020010"/>
    <w:rsid w:val="00032DE0"/>
    <w:rsid w:val="00034673"/>
    <w:rsid w:val="00036671"/>
    <w:rsid w:val="00037226"/>
    <w:rsid w:val="000409E2"/>
    <w:rsid w:val="00044EA1"/>
    <w:rsid w:val="000456BE"/>
    <w:rsid w:val="00054574"/>
    <w:rsid w:val="0005649A"/>
    <w:rsid w:val="00063BB2"/>
    <w:rsid w:val="00065F18"/>
    <w:rsid w:val="00067005"/>
    <w:rsid w:val="00076035"/>
    <w:rsid w:val="00077013"/>
    <w:rsid w:val="00091C3A"/>
    <w:rsid w:val="000B1710"/>
    <w:rsid w:val="000B7977"/>
    <w:rsid w:val="000D14DD"/>
    <w:rsid w:val="000D61F6"/>
    <w:rsid w:val="000E27B5"/>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73AC7"/>
    <w:rsid w:val="00184C0F"/>
    <w:rsid w:val="0018603B"/>
    <w:rsid w:val="001A5F55"/>
    <w:rsid w:val="001B2364"/>
    <w:rsid w:val="001C0031"/>
    <w:rsid w:val="001C0C30"/>
    <w:rsid w:val="001C4AE8"/>
    <w:rsid w:val="001D0111"/>
    <w:rsid w:val="001D7EAE"/>
    <w:rsid w:val="001E64FC"/>
    <w:rsid w:val="001F0724"/>
    <w:rsid w:val="002007DF"/>
    <w:rsid w:val="00205FE8"/>
    <w:rsid w:val="00206BA3"/>
    <w:rsid w:val="00215160"/>
    <w:rsid w:val="002224B4"/>
    <w:rsid w:val="00226D5E"/>
    <w:rsid w:val="00237A3D"/>
    <w:rsid w:val="00240E83"/>
    <w:rsid w:val="002502D1"/>
    <w:rsid w:val="002525A9"/>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3262"/>
    <w:rsid w:val="003A490D"/>
    <w:rsid w:val="003A6FFE"/>
    <w:rsid w:val="003A7695"/>
    <w:rsid w:val="003B3A23"/>
    <w:rsid w:val="003B6592"/>
    <w:rsid w:val="003C6427"/>
    <w:rsid w:val="003C772C"/>
    <w:rsid w:val="003D2E3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4019C"/>
    <w:rsid w:val="004552A0"/>
    <w:rsid w:val="00457E34"/>
    <w:rsid w:val="00460A83"/>
    <w:rsid w:val="00460B3F"/>
    <w:rsid w:val="00464752"/>
    <w:rsid w:val="00472A55"/>
    <w:rsid w:val="00475154"/>
    <w:rsid w:val="00476068"/>
    <w:rsid w:val="004763B3"/>
    <w:rsid w:val="00477619"/>
    <w:rsid w:val="00486E6E"/>
    <w:rsid w:val="004875DF"/>
    <w:rsid w:val="00487C1D"/>
    <w:rsid w:val="004910D0"/>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525F"/>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A584F"/>
    <w:rsid w:val="005B6E23"/>
    <w:rsid w:val="005B6F67"/>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4096B"/>
    <w:rsid w:val="00654145"/>
    <w:rsid w:val="00660CE4"/>
    <w:rsid w:val="00662716"/>
    <w:rsid w:val="00676C9F"/>
    <w:rsid w:val="0067716B"/>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17B82"/>
    <w:rsid w:val="0073106E"/>
    <w:rsid w:val="00735458"/>
    <w:rsid w:val="00755142"/>
    <w:rsid w:val="00756BB7"/>
    <w:rsid w:val="0075764B"/>
    <w:rsid w:val="00760C01"/>
    <w:rsid w:val="00761293"/>
    <w:rsid w:val="0076174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59C4"/>
    <w:rsid w:val="00876E5F"/>
    <w:rsid w:val="00884A12"/>
    <w:rsid w:val="00890CE4"/>
    <w:rsid w:val="00891ED7"/>
    <w:rsid w:val="008B052B"/>
    <w:rsid w:val="008B7B54"/>
    <w:rsid w:val="008C3187"/>
    <w:rsid w:val="008C5E4F"/>
    <w:rsid w:val="008D63B7"/>
    <w:rsid w:val="008D6A03"/>
    <w:rsid w:val="008D6CA7"/>
    <w:rsid w:val="008E508C"/>
    <w:rsid w:val="008E7FEE"/>
    <w:rsid w:val="008F2F06"/>
    <w:rsid w:val="008F31F5"/>
    <w:rsid w:val="008F67F5"/>
    <w:rsid w:val="008F6BCE"/>
    <w:rsid w:val="00900D4B"/>
    <w:rsid w:val="00902ACE"/>
    <w:rsid w:val="00905F9B"/>
    <w:rsid w:val="00913E95"/>
    <w:rsid w:val="009170B9"/>
    <w:rsid w:val="00923A87"/>
    <w:rsid w:val="00927482"/>
    <w:rsid w:val="00936FF5"/>
    <w:rsid w:val="0094654B"/>
    <w:rsid w:val="0095112B"/>
    <w:rsid w:val="0095712A"/>
    <w:rsid w:val="009629DD"/>
    <w:rsid w:val="00965696"/>
    <w:rsid w:val="00973A6D"/>
    <w:rsid w:val="009804E0"/>
    <w:rsid w:val="00983735"/>
    <w:rsid w:val="009865AA"/>
    <w:rsid w:val="00987080"/>
    <w:rsid w:val="0098765A"/>
    <w:rsid w:val="00987E5B"/>
    <w:rsid w:val="00991620"/>
    <w:rsid w:val="009942AC"/>
    <w:rsid w:val="009968B0"/>
    <w:rsid w:val="009A6CB2"/>
    <w:rsid w:val="009B0982"/>
    <w:rsid w:val="009B4C99"/>
    <w:rsid w:val="009C13FB"/>
    <w:rsid w:val="009D24A8"/>
    <w:rsid w:val="009D28CF"/>
    <w:rsid w:val="009E5D36"/>
    <w:rsid w:val="009E6375"/>
    <w:rsid w:val="009E7CA0"/>
    <w:rsid w:val="009F14B3"/>
    <w:rsid w:val="00A04392"/>
    <w:rsid w:val="00A069CE"/>
    <w:rsid w:val="00A109D8"/>
    <w:rsid w:val="00A16003"/>
    <w:rsid w:val="00A167D7"/>
    <w:rsid w:val="00A23D39"/>
    <w:rsid w:val="00A23EC2"/>
    <w:rsid w:val="00A24FBB"/>
    <w:rsid w:val="00A3453E"/>
    <w:rsid w:val="00A42ED2"/>
    <w:rsid w:val="00A4349F"/>
    <w:rsid w:val="00A44B33"/>
    <w:rsid w:val="00A50E00"/>
    <w:rsid w:val="00A52529"/>
    <w:rsid w:val="00A53624"/>
    <w:rsid w:val="00A53628"/>
    <w:rsid w:val="00A55EAF"/>
    <w:rsid w:val="00A5766B"/>
    <w:rsid w:val="00A77512"/>
    <w:rsid w:val="00A863E3"/>
    <w:rsid w:val="00A94161"/>
    <w:rsid w:val="00A97BFB"/>
    <w:rsid w:val="00AA5C7B"/>
    <w:rsid w:val="00AB0BBC"/>
    <w:rsid w:val="00AB3A92"/>
    <w:rsid w:val="00AB478B"/>
    <w:rsid w:val="00AB47AC"/>
    <w:rsid w:val="00AB4AD9"/>
    <w:rsid w:val="00AB7255"/>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00CE"/>
    <w:rsid w:val="00BC45F7"/>
    <w:rsid w:val="00BC6A06"/>
    <w:rsid w:val="00BD137C"/>
    <w:rsid w:val="00BE3BC7"/>
    <w:rsid w:val="00BE3E5C"/>
    <w:rsid w:val="00BF1AB7"/>
    <w:rsid w:val="00BF7FE9"/>
    <w:rsid w:val="00C023E0"/>
    <w:rsid w:val="00C03596"/>
    <w:rsid w:val="00C05EEC"/>
    <w:rsid w:val="00C15A13"/>
    <w:rsid w:val="00C238D9"/>
    <w:rsid w:val="00C24A9D"/>
    <w:rsid w:val="00C2677E"/>
    <w:rsid w:val="00C31542"/>
    <w:rsid w:val="00C5028E"/>
    <w:rsid w:val="00C545C6"/>
    <w:rsid w:val="00C54E78"/>
    <w:rsid w:val="00C6078D"/>
    <w:rsid w:val="00C657CF"/>
    <w:rsid w:val="00C80D62"/>
    <w:rsid w:val="00C8388B"/>
    <w:rsid w:val="00C84944"/>
    <w:rsid w:val="00C90217"/>
    <w:rsid w:val="00C960DA"/>
    <w:rsid w:val="00C96BFD"/>
    <w:rsid w:val="00C96C98"/>
    <w:rsid w:val="00CA5358"/>
    <w:rsid w:val="00CB0B17"/>
    <w:rsid w:val="00CB1DCA"/>
    <w:rsid w:val="00CD502A"/>
    <w:rsid w:val="00CF12CF"/>
    <w:rsid w:val="00CF4BE3"/>
    <w:rsid w:val="00CF632B"/>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6406"/>
    <w:rsid w:val="00DD6471"/>
    <w:rsid w:val="00DE16B6"/>
    <w:rsid w:val="00DE3323"/>
    <w:rsid w:val="00DE36CA"/>
    <w:rsid w:val="00DE7E63"/>
    <w:rsid w:val="00DF77A2"/>
    <w:rsid w:val="00E06B76"/>
    <w:rsid w:val="00E367C5"/>
    <w:rsid w:val="00E37E71"/>
    <w:rsid w:val="00E42486"/>
    <w:rsid w:val="00E42847"/>
    <w:rsid w:val="00E46064"/>
    <w:rsid w:val="00E604A1"/>
    <w:rsid w:val="00E7293C"/>
    <w:rsid w:val="00E73AA8"/>
    <w:rsid w:val="00E76812"/>
    <w:rsid w:val="00E80228"/>
    <w:rsid w:val="00E814B9"/>
    <w:rsid w:val="00E86D2A"/>
    <w:rsid w:val="00E8711A"/>
    <w:rsid w:val="00EA2ED4"/>
    <w:rsid w:val="00EA491A"/>
    <w:rsid w:val="00EB1583"/>
    <w:rsid w:val="00EB3397"/>
    <w:rsid w:val="00EB54A9"/>
    <w:rsid w:val="00EC23FB"/>
    <w:rsid w:val="00EC7017"/>
    <w:rsid w:val="00ED4356"/>
    <w:rsid w:val="00ED7681"/>
    <w:rsid w:val="00EE243C"/>
    <w:rsid w:val="00EE5A80"/>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971"/>
    <w:rsid w:val="00FA5EA1"/>
    <w:rsid w:val="00FA5FE9"/>
    <w:rsid w:val="00FA67D2"/>
    <w:rsid w:val="00FB1990"/>
    <w:rsid w:val="00FB302F"/>
    <w:rsid w:val="00FB5A92"/>
    <w:rsid w:val="00FC1C69"/>
    <w:rsid w:val="00FC3739"/>
    <w:rsid w:val="00FC5259"/>
    <w:rsid w:val="00FE5AD9"/>
    <w:rsid w:val="00FE7A33"/>
    <w:rsid w:val="00FF3414"/>
    <w:rsid w:val="00FF7B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D42C55"/>
  <w15:chartTrackingRefBased/>
  <w15:docId w15:val="{9A5FC830-9910-4C52-A912-A5B390C7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E5C"/>
    <w:pPr>
      <w:spacing w:before="0" w:after="160" w:line="254" w:lineRule="auto"/>
    </w:pPr>
    <w:rPr>
      <w:rFonts w:asciiTheme="minorHAnsi" w:hAnsiTheme="minorHAnsi" w:cstheme="minorBidi"/>
      <w:sz w:val="22"/>
      <w:szCs w:val="22"/>
      <w:lang w:val="en-US" w:eastAsia="en-US"/>
    </w:rPr>
  </w:style>
  <w:style w:type="paragraph" w:styleId="Heading1">
    <w:name w:val="heading 1"/>
    <w:basedOn w:val="Normal"/>
    <w:next w:val="Normal"/>
    <w:link w:val="Heading1Char"/>
    <w:uiPriority w:val="9"/>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uiPriority w:val="9"/>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sz w:val="20"/>
    </w:rPr>
  </w:style>
  <w:style w:type="paragraph" w:customStyle="1" w:styleId="Documentationpagetableheading">
    <w:name w:val="Documentation page table heading"/>
    <w:basedOn w:val="Normal"/>
    <w:semiHidden/>
    <w:qFormat/>
    <w:rsid w:val="00065F18"/>
    <w:pPr>
      <w:spacing w:before="40" w:after="40"/>
    </w:pPr>
    <w:rPr>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TitleChar">
    <w:name w:val="Title Char"/>
    <w:basedOn w:val="DefaultParagraphFont"/>
    <w:link w:val="Title"/>
    <w:uiPriority w:val="99"/>
    <w:rsid w:val="00BE3E5C"/>
    <w:rPr>
      <w:b/>
      <w:color w:val="1F546B"/>
      <w:sz w:val="80"/>
      <w:szCs w:val="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F318-84C4-404A-ACCC-930A4D7B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9</Pages>
  <Words>3088</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Beattie</dc:creator>
  <cp:keywords/>
  <dc:description/>
  <cp:lastModifiedBy>Gavin Beattie</cp:lastModifiedBy>
  <cp:revision>16</cp:revision>
  <cp:lastPrinted>2019-03-31T22:14:00Z</cp:lastPrinted>
  <dcterms:created xsi:type="dcterms:W3CDTF">2019-03-28T03:28:00Z</dcterms:created>
  <dcterms:modified xsi:type="dcterms:W3CDTF">2019-03-31T22:14:00Z</dcterms:modified>
</cp:coreProperties>
</file>